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7.jpeg" ContentType="image/jpeg"/>
  <Override PartName="/word/media/image2.jpeg" ContentType="image/jpeg"/>
  <Override PartName="/word/media/image8.png" ContentType="image/png"/>
  <Override PartName="/word/media/image3.png" ContentType="image/png"/>
  <Override PartName="/word/media/image4.png" ContentType="image/png"/>
  <Override PartName="/word/media/image6.jpeg" ContentType="image/jpeg"/>
  <Override PartName="/word/media/image5.jpeg" ContentType="image/jpeg"/>
  <Override PartName="/word/media/image11.png" ContentType="image/png"/>
  <Override PartName="/word/media/image9.jpeg" ContentType="image/jpeg"/>
  <Override PartName="/word/media/image10.png" ContentType="image/png"/>
  <Override PartName="/word/media/image12.png" ContentType="image/png"/>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footnotes.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left="567" w:hanging="0"/>
        <w:jc w:val="right"/>
        <w:rPr>
          <w:rFonts w:ascii="Calibri" w:hAnsi="Calibri"/>
        </w:rPr>
      </w:pPr>
      <w:r>
        <w:rPr>
          <w:rFonts w:ascii="Calibri" w:hAnsi="Calibri"/>
        </w:rPr>
        <w:t xml:space="preserve">Direction départementale des Territoires </w:t>
      </w:r>
    </w:p>
    <w:p>
      <w:pPr>
        <w:pStyle w:val="Normal"/>
        <w:spacing w:before="0" w:after="120"/>
        <w:ind w:left="567" w:hanging="0"/>
        <w:jc w:val="right"/>
        <w:rPr>
          <w:rFonts w:ascii="Calibri" w:hAnsi="Calibri"/>
        </w:rPr>
      </w:pPr>
      <w:r>
        <w:rPr>
          <w:rFonts w:ascii="Calibri" w:hAnsi="Calibri"/>
        </w:rPr>
        <w:t>et de la Mer de Loire-Atlantique</w:t>
      </w:r>
    </w:p>
    <w:p>
      <w:pPr>
        <w:pStyle w:val="Normal"/>
        <w:ind w:left="567" w:hanging="0"/>
        <w:jc w:val="right"/>
        <w:rPr>
          <w:rFonts w:ascii="Calibri" w:hAnsi="Calibri"/>
        </w:rPr>
      </w:pPr>
      <w:r>
        <w:rPr>
          <w:rFonts w:ascii="Calibri" w:hAnsi="Calibri"/>
        </w:rPr>
        <w:t>Service Eau, Environnement</w:t>
      </w:r>
    </w:p>
    <w:p>
      <w:pPr>
        <w:pStyle w:val="Normal"/>
        <w:spacing w:before="0" w:after="120"/>
        <w:ind w:left="567" w:hanging="0"/>
        <w:jc w:val="right"/>
        <w:rPr>
          <w:rFonts w:ascii="Calibri" w:hAnsi="Calibri"/>
        </w:rPr>
      </w:pPr>
      <w:r>
        <w:rPr>
          <w:rFonts w:ascii="Calibri" w:hAnsi="Calibri"/>
        </w:rPr>
        <w:t>Division Environnement, Énergies, Chasse</w:t>
      </w:r>
    </w:p>
    <w:p>
      <w:pPr>
        <w:pStyle w:val="Normal"/>
        <w:ind w:left="567" w:hanging="0"/>
        <w:jc w:val="right"/>
        <w:rPr>
          <w:rFonts w:ascii="Calibri" w:hAnsi="Calibri"/>
        </w:rPr>
      </w:pPr>
      <w:r>
        <w:rPr>
          <w:rFonts w:ascii="Calibri" w:hAnsi="Calibri"/>
        </w:rPr>
        <w:t>10, boulevard Gaston Serpette</w:t>
      </w:r>
    </w:p>
    <w:p>
      <w:pPr>
        <w:pStyle w:val="Normal"/>
        <w:ind w:left="567" w:hanging="0"/>
        <w:jc w:val="right"/>
        <w:rPr>
          <w:rFonts w:ascii="Calibri" w:hAnsi="Calibri"/>
        </w:rPr>
      </w:pPr>
      <w:r>
        <w:rPr>
          <w:rFonts w:ascii="Calibri" w:hAnsi="Calibri"/>
        </w:rPr>
        <w:t>BP 53606</w:t>
      </w:r>
    </w:p>
    <w:p>
      <w:pPr>
        <w:pStyle w:val="Normal"/>
        <w:spacing w:before="0" w:after="120"/>
        <w:ind w:left="567" w:hanging="0"/>
        <w:jc w:val="right"/>
        <w:rPr>
          <w:rFonts w:ascii="Calibri" w:hAnsi="Calibri"/>
        </w:rPr>
      </w:pPr>
      <w:r>
        <w:rPr>
          <w:rFonts w:ascii="Calibri" w:hAnsi="Calibri"/>
        </w:rPr>
        <w:t>44036 Nantes cedex 1</w:t>
      </w:r>
    </w:p>
    <w:p>
      <w:pPr>
        <w:pStyle w:val="Titre1"/>
        <w:spacing w:beforeAutospacing="0" w:before="0" w:afterAutospacing="0" w:after="120"/>
        <w:rPr>
          <w:rFonts w:ascii="Calibri" w:hAnsi="Calibri" w:eastAsia="Times New Roman" w:cs="Arial"/>
          <w:b w:val="false"/>
          <w:b w:val="false"/>
          <w:color w:val="auto"/>
          <w:sz w:val="24"/>
          <w:szCs w:val="24"/>
          <w:lang w:val="fr-FR"/>
        </w:rPr>
      </w:pPr>
      <w:bookmarkStart w:id="0" w:name="_Toc222740192"/>
      <w:r>
        <w:rPr>
          <w:rFonts w:eastAsia="Times New Roman" w:cs="Arial" w:ascii="Calibri" w:hAnsi="Calibri"/>
          <w:b w:val="false"/>
          <w:color w:val="auto"/>
          <w:sz w:val="24"/>
          <w:szCs w:val="24"/>
          <w:lang w:val="fr-FR"/>
        </w:rPr>
        <w:t>Angers, le 06/03/2026</w:t>
      </w:r>
      <w:bookmarkEnd w:id="0"/>
    </w:p>
    <w:p>
      <w:pPr>
        <w:pStyle w:val="Titre1"/>
        <w:spacing w:beforeAutospacing="0" w:before="0" w:afterAutospacing="0" w:after="0"/>
        <w:rPr>
          <w:rFonts w:ascii="Calibri" w:hAnsi="Calibri" w:eastAsia="Times New Roman" w:cs="Arial"/>
          <w:b w:val="false"/>
          <w:b w:val="false"/>
          <w:i/>
          <w:i/>
          <w:color w:val="auto"/>
          <w:sz w:val="16"/>
          <w:szCs w:val="16"/>
          <w:lang w:val="fr-FR"/>
        </w:rPr>
      </w:pPr>
      <w:bookmarkStart w:id="1" w:name="_Toc222740193"/>
      <w:r>
        <w:rPr>
          <w:rFonts w:eastAsia="Times New Roman" w:cs="Arial" w:ascii="Calibri" w:hAnsi="Calibri"/>
          <w:b w:val="false"/>
          <w:i/>
          <w:color w:val="auto"/>
          <w:sz w:val="16"/>
          <w:szCs w:val="16"/>
          <w:lang w:val="fr-FR"/>
        </w:rPr>
        <w:t>Dossier suivi par Alexandre Martin</w:t>
      </w:r>
      <w:bookmarkEnd w:id="1"/>
    </w:p>
    <w:p>
      <w:pPr>
        <w:pStyle w:val="Titre1"/>
        <w:spacing w:beforeAutospacing="0" w:before="0" w:afterAutospacing="0" w:after="120"/>
        <w:rPr>
          <w:rFonts w:ascii="Calibri" w:hAnsi="Calibri" w:eastAsia="Times New Roman" w:cs="Arial"/>
          <w:b w:val="false"/>
          <w:b w:val="false"/>
          <w:i/>
          <w:i/>
          <w:color w:val="auto"/>
          <w:sz w:val="16"/>
          <w:szCs w:val="16"/>
          <w:lang w:val="fr-FR"/>
        </w:rPr>
      </w:pPr>
      <w:hyperlink r:id="rId2">
        <w:bookmarkStart w:id="2" w:name="_Toc222740194"/>
        <w:r>
          <w:rPr>
            <w:rStyle w:val="LienInternet"/>
            <w:rFonts w:eastAsia="Times New Roman" w:cs="Arial" w:ascii="Calibri" w:hAnsi="Calibri"/>
            <w:b w:val="false"/>
            <w:i/>
            <w:sz w:val="16"/>
            <w:szCs w:val="16"/>
            <w:lang w:val="fr-FR"/>
          </w:rPr>
          <w:t>alexandre.martin@lpo.fr</w:t>
        </w:r>
      </w:hyperlink>
      <w:bookmarkEnd w:id="2"/>
    </w:p>
    <w:p>
      <w:pPr>
        <w:pStyle w:val="Titre1"/>
        <w:spacing w:beforeAutospacing="0" w:before="0" w:afterAutospacing="0" w:after="120"/>
        <w:ind w:left="567" w:hanging="0"/>
        <w:rPr>
          <w:rFonts w:ascii="Calibri" w:hAnsi="Calibri" w:eastAsia="Times New Roman" w:cs="Arial"/>
          <w:b w:val="false"/>
          <w:b w:val="false"/>
          <w:color w:val="auto"/>
          <w:sz w:val="24"/>
          <w:szCs w:val="24"/>
          <w:lang w:val="fr-FR"/>
        </w:rPr>
      </w:pPr>
      <w:r>
        <w:rPr>
          <w:rFonts w:eastAsia="Times New Roman" w:cs="Arial" w:ascii="Calibri" w:hAnsi="Calibri"/>
          <w:b w:val="false"/>
          <w:color w:val="auto"/>
          <w:sz w:val="24"/>
          <w:szCs w:val="24"/>
          <w:lang w:val="fr-FR"/>
        </w:rPr>
      </w:r>
    </w:p>
    <w:p>
      <w:pPr>
        <w:pStyle w:val="Normal"/>
        <w:tabs>
          <w:tab w:val="clear" w:pos="708"/>
          <w:tab w:val="left" w:pos="1620" w:leader="none"/>
        </w:tabs>
        <w:spacing w:before="0" w:after="120"/>
        <w:ind w:left="567" w:hanging="0"/>
        <w:jc w:val="center"/>
        <w:rPr>
          <w:rFonts w:ascii="Calibri" w:hAnsi="Calibri" w:cs="Arial"/>
        </w:rPr>
      </w:pPr>
      <w:r>
        <w:rPr>
          <w:rFonts w:cs="Arial" w:ascii="Calibri" w:hAnsi="Calibri"/>
        </w:rPr>
        <w:t>Madame, Monsieur,</w:t>
      </w:r>
    </w:p>
    <w:p>
      <w:pPr>
        <w:pStyle w:val="Normal"/>
        <w:tabs>
          <w:tab w:val="clear" w:pos="708"/>
          <w:tab w:val="left" w:pos="1620" w:leader="none"/>
        </w:tabs>
        <w:spacing w:before="0" w:after="120"/>
        <w:rPr>
          <w:rFonts w:ascii="Calibri" w:hAnsi="Calibri" w:cs="Arial"/>
        </w:rPr>
      </w:pPr>
      <w:r>
        <w:rPr>
          <w:rFonts w:cs="Arial" w:ascii="Calibri" w:hAnsi="Calibri"/>
        </w:rPr>
      </w:r>
    </w:p>
    <w:p>
      <w:pPr>
        <w:pStyle w:val="Normal"/>
        <w:tabs>
          <w:tab w:val="clear" w:pos="708"/>
          <w:tab w:val="left" w:pos="1620" w:leader="none"/>
        </w:tabs>
        <w:spacing w:before="0" w:after="120"/>
        <w:jc w:val="both"/>
        <w:rPr>
          <w:rFonts w:ascii="Calibri" w:hAnsi="Calibri" w:cs="Arial"/>
        </w:rPr>
      </w:pPr>
      <w:r>
        <w:rPr>
          <w:rFonts w:cs="Arial" w:ascii="Calibri" w:hAnsi="Calibri"/>
        </w:rPr>
        <w:t>Dans le cadre de la déclinaison régionale du plan national d’actions en faveur de la Loutre d’Europe, la Ligue pour la Protection des Oiseaux Anjou (LPO Anjou) coordonne la mise en œuvre des différentes actions identifiées comme prioritaires.</w:t>
      </w:r>
    </w:p>
    <w:p>
      <w:pPr>
        <w:pStyle w:val="Normal"/>
        <w:tabs>
          <w:tab w:val="clear" w:pos="708"/>
          <w:tab w:val="left" w:pos="1620" w:leader="none"/>
        </w:tabs>
        <w:spacing w:before="0" w:after="120"/>
        <w:jc w:val="both"/>
        <w:rPr>
          <w:rFonts w:ascii="Calibri" w:hAnsi="Calibri" w:cs="Arial"/>
        </w:rPr>
      </w:pPr>
      <w:r>
        <w:rPr>
          <w:rFonts w:cs="Arial" w:ascii="Calibri" w:hAnsi="Calibri"/>
        </w:rPr>
        <w:t xml:space="preserve">L’action 2 du Plan national d’action « Recenser les cas de mortalité, assurer un suivi sanitaire et éco-toxicologique, valoriser les spécimens de Loutres d’Europe trouvées mortes », prévoit la mise en œuvre d’un réseau de collecte et de valorisation des cadavres de Loutre dans la continuité de ce qui a été mis en place lors du précédent PNA. En effet, de nombreux cadavres liés à des collisions routières sont répertoriés chaque année dans les départements de la région. </w:t>
      </w:r>
    </w:p>
    <w:p>
      <w:pPr>
        <w:pStyle w:val="Normal"/>
        <w:tabs>
          <w:tab w:val="clear" w:pos="708"/>
          <w:tab w:val="left" w:pos="1620" w:leader="none"/>
        </w:tabs>
        <w:spacing w:before="0" w:after="120"/>
        <w:jc w:val="both"/>
        <w:rPr>
          <w:rFonts w:ascii="Calibri" w:hAnsi="Calibri" w:cs="Arial"/>
        </w:rPr>
      </w:pPr>
      <w:r>
        <w:rPr>
          <w:rFonts w:cs="Arial" w:ascii="Calibri" w:hAnsi="Calibri"/>
        </w:rPr>
        <w:t xml:space="preserve">À l’échelle nationale, dans le cadre du PNA, la Société française d’études et de protection des mammifères, qui coordonne ce plan, a élaboré un protocole (en pièce jointe à ce courrier) avec l’aide de ses partenaires afin de valoriser ces cadavres. L’objectif est de poursuivre la collecte d’échantillons et de cadavres comme cela a pu se faire grâce aux précédentes dérogations accordées à 22 personnes de la région sur la période 2021-2025. </w:t>
      </w:r>
    </w:p>
    <w:p>
      <w:pPr>
        <w:pStyle w:val="Normal"/>
        <w:tabs>
          <w:tab w:val="clear" w:pos="708"/>
          <w:tab w:val="left" w:pos="1620" w:leader="none"/>
        </w:tabs>
        <w:spacing w:before="0" w:after="120"/>
        <w:jc w:val="both"/>
        <w:rPr>
          <w:rFonts w:ascii="Calibri" w:hAnsi="Calibri" w:cs="Arial"/>
        </w:rPr>
      </w:pPr>
      <w:r>
        <w:rPr>
          <w:rFonts w:cs="Arial" w:ascii="Calibri" w:hAnsi="Calibri"/>
        </w:rPr>
        <w:t xml:space="preserve">Selon les cas, des échantillons sont prélevés sur place ou le cadavre est prélevé entièrement. Le protocole et les consignes pour le prélèvement d’échantillon sont données en annexe. Les échantillons et cadavres sont stockés temporairement dans les congélateurs de différentes structures : École vétérinaire ONIRIS à Nantes, siège du PNR de Brière, siège du PNR Marais Poitevin, siège de Mayenne Nature Environnement, siège de la LPO Vendée, siège de la LPO Sarthe, siège de la LPO Anjou, Siège en Loire-Atlantique du Groupe Mammalogique Breton, le centre de soin FAUNALIS. Les échantillons sont ensuite centralisés au siège de la LPO Anjou et sont envoyés à la SFEPM à Bourges. Des études génétiques sont ensuite effectuées sur ces échantillons. Concernant les cadavres, ils sont gardés à ONIRIS pour des études toxicologiques. Ils sont ensuite envoyés à l’équarrissage. </w:t>
      </w:r>
    </w:p>
    <w:p>
      <w:pPr>
        <w:pStyle w:val="Normal"/>
        <w:tabs>
          <w:tab w:val="clear" w:pos="708"/>
          <w:tab w:val="left" w:pos="1620" w:leader="none"/>
        </w:tabs>
        <w:spacing w:before="0" w:after="120"/>
        <w:jc w:val="both"/>
        <w:rPr>
          <w:rFonts w:ascii="Calibri" w:hAnsi="Calibri" w:cs="Arial"/>
        </w:rPr>
      </w:pPr>
      <w:r>
        <w:rPr>
          <w:rFonts w:cs="Arial" w:ascii="Calibri" w:hAnsi="Calibri"/>
        </w:rPr>
        <w:t xml:space="preserve">Ainsi, les différents acteurs concernés souhaitent poursuivre la mise en œuvre de cette action grâce à la mobilisation d’un réseau de personnes intervenant bénévolement. Par conséquent, étant donné le statut de protection de la Loutre d’Europe et dans un souci de facilitation administrative, vous trouverez joint à ce courrier les demandes de dérogations de la LPO Anjou pour nous permettre de déléguer le droit de prélèvement et/ou de transport de cadavres de loutres aux différentes personnes suivantes au travers d’un courrier signé de la LPO Anjou : </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Barideau-Castets Angèle (CPIE 72)</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Baron Xavier (PNR Marais Poitevin)</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 xml:space="preserve">Blondel Lucie (PNR Loire Anjou Touraine) </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Bobineau Maxime (Fédération Départementale des Chasseurs de Vendée)</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Bouton François-Marie (LPO Sarthe)</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Gaudichon Clovis (GMB)</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Gillier Jean-Marc (SNPN)</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Hardy Bruno (PNR de Brière)</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Heugas Tiphaine (LPO Vendée)</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Ihuel Marine (GMB)</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Le Champion Thomas (GMB)</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Macé Frank (PNR de Brière)</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Maisonneuve Jean-Luc (EDENN)</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Marquet Matthieu (PNR de Brière)</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Martin Alexandre (LPO Anjou)</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Martin Charles (Ouestam)</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Perrin Magali (MNE)</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Plantive Manuel (CPIE 72)</w:t>
      </w:r>
      <w:bookmarkStart w:id="3" w:name="_GoBack"/>
      <w:bookmarkEnd w:id="3"/>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Reeber Sébastien (SNPN)</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Rochard Thomas (CPIE Loire Anjou)</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Rochier Damien (LPO Anjou)</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Séguineau Alice (LPO Sarthe)</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Stephany Léa (PNR Marais Poitevin)</w:t>
      </w:r>
    </w:p>
    <w:p>
      <w:pPr>
        <w:pStyle w:val="ListParagraph"/>
        <w:numPr>
          <w:ilvl w:val="0"/>
          <w:numId w:val="1"/>
        </w:numPr>
        <w:tabs>
          <w:tab w:val="clear" w:pos="708"/>
          <w:tab w:val="left" w:pos="1620" w:leader="none"/>
        </w:tabs>
        <w:spacing w:before="0" w:after="120"/>
        <w:contextualSpacing/>
        <w:jc w:val="both"/>
        <w:rPr>
          <w:rFonts w:ascii="Calibri" w:hAnsi="Calibri" w:cs="Arial"/>
        </w:rPr>
      </w:pPr>
      <w:r>
        <w:rPr>
          <w:rFonts w:cs="Arial" w:ascii="Calibri" w:hAnsi="Calibri"/>
        </w:rPr>
        <w:t>Taunay Wilfrid (PNR de Brière)</w:t>
      </w:r>
    </w:p>
    <w:p>
      <w:pPr>
        <w:pStyle w:val="Normal"/>
        <w:tabs>
          <w:tab w:val="clear" w:pos="708"/>
          <w:tab w:val="left" w:pos="1620" w:leader="none"/>
        </w:tabs>
        <w:spacing w:before="0" w:after="120"/>
        <w:rPr>
          <w:rFonts w:ascii="Calibri" w:hAnsi="Calibri" w:cs="Arial"/>
        </w:rPr>
      </w:pPr>
      <w:r>
        <w:rPr>
          <w:rFonts w:cs="Arial" w:ascii="Calibri" w:hAnsi="Calibri"/>
        </w:rPr>
      </w:r>
    </w:p>
    <w:p>
      <w:pPr>
        <w:pStyle w:val="Normal"/>
        <w:tabs>
          <w:tab w:val="clear" w:pos="708"/>
          <w:tab w:val="left" w:pos="1620" w:leader="none"/>
        </w:tabs>
        <w:spacing w:before="0" w:after="120"/>
        <w:jc w:val="both"/>
        <w:rPr>
          <w:rFonts w:ascii="Calibri" w:hAnsi="Calibri" w:cs="Arial"/>
        </w:rPr>
      </w:pPr>
      <w:r>
        <w:rPr>
          <w:rFonts w:cs="Arial" w:ascii="Calibri" w:hAnsi="Calibri"/>
        </w:rPr>
        <w:t xml:space="preserve">Nous demandons aussi, pour simplifier les démarches, le droit de déléguer à d’autres personnes intégrant le réseau qui ne sont pas mentionnées dans la liste précédente (dans le cas par exemple d’un remplacement ou d’une arrivée), sous couvert que la personne soit formée aux prélèvements et au transport selon les protocoles ci-dessous. </w:t>
      </w:r>
    </w:p>
    <w:p>
      <w:pPr>
        <w:pStyle w:val="Normal"/>
        <w:tabs>
          <w:tab w:val="clear" w:pos="708"/>
          <w:tab w:val="left" w:pos="1620" w:leader="none"/>
        </w:tabs>
        <w:spacing w:before="0" w:after="120"/>
        <w:rPr>
          <w:rFonts w:ascii="Calibri" w:hAnsi="Calibri" w:cs="Arial"/>
        </w:rPr>
      </w:pPr>
      <w:r>
        <w:rPr>
          <w:rFonts w:cs="Arial" w:ascii="Calibri" w:hAnsi="Calibri"/>
        </w:rPr>
        <w:t>Dans l’attente du traitement de ces demandes de dérogations, veuillez, Madame, Monsieur, agréer mes respectueuses salutations.</w:t>
      </w:r>
    </w:p>
    <w:p>
      <w:pPr>
        <w:pStyle w:val="Normal"/>
        <w:tabs>
          <w:tab w:val="clear" w:pos="708"/>
          <w:tab w:val="left" w:pos="1620" w:leader="none"/>
        </w:tabs>
        <w:spacing w:before="0" w:after="120"/>
        <w:rPr>
          <w:rFonts w:ascii="Calibri" w:hAnsi="Calibri" w:cs="Arial"/>
        </w:rPr>
      </w:pPr>
      <w:r>
        <w:rPr>
          <w:rFonts w:cs="Arial" w:ascii="Calibri" w:hAnsi="Calibri"/>
        </w:rPr>
      </w:r>
    </w:p>
    <w:p>
      <w:pPr>
        <w:pStyle w:val="Normal"/>
        <w:tabs>
          <w:tab w:val="clear" w:pos="708"/>
          <w:tab w:val="left" w:pos="1620" w:leader="none"/>
        </w:tabs>
        <w:jc w:val="right"/>
        <w:rPr>
          <w:rFonts w:ascii="Calibri" w:hAnsi="Calibri" w:cs="Arial"/>
          <w:b/>
          <w:b/>
        </w:rPr>
      </w:pPr>
      <w:r>
        <w:rPr>
          <w:rFonts w:cs="Arial" w:ascii="Calibri" w:hAnsi="Calibri"/>
          <w:b/>
        </w:rPr>
        <w:t>Alexandre Martin</w:t>
      </w:r>
    </w:p>
    <w:p>
      <w:pPr>
        <w:pStyle w:val="Normal"/>
        <w:tabs>
          <w:tab w:val="clear" w:pos="708"/>
          <w:tab w:val="left" w:pos="1620" w:leader="none"/>
        </w:tabs>
        <w:jc w:val="right"/>
        <w:rPr>
          <w:rFonts w:ascii="Calibri" w:hAnsi="Calibri" w:cs="Arial"/>
          <w:sz w:val="20"/>
          <w:szCs w:val="20"/>
        </w:rPr>
      </w:pPr>
      <w:r>
        <w:rPr>
          <w:rFonts w:cs="Arial" w:ascii="Calibri" w:hAnsi="Calibri"/>
          <w:sz w:val="20"/>
          <w:szCs w:val="20"/>
        </w:rPr>
        <w:t>Chargé de mission LPO Anjou</w:t>
      </w:r>
    </w:p>
    <w:p>
      <w:pPr>
        <w:pStyle w:val="Normal"/>
        <w:tabs>
          <w:tab w:val="clear" w:pos="708"/>
          <w:tab w:val="left" w:pos="1620" w:leader="none"/>
        </w:tabs>
        <w:jc w:val="right"/>
        <w:rPr>
          <w:rFonts w:ascii="Calibri" w:hAnsi="Calibri" w:cs="Arial"/>
          <w:sz w:val="20"/>
          <w:szCs w:val="20"/>
        </w:rPr>
      </w:pPr>
      <w:r>
        <w:rPr>
          <w:rFonts w:cs="Arial" w:ascii="Calibri" w:hAnsi="Calibri"/>
          <w:sz w:val="20"/>
          <w:szCs w:val="20"/>
        </w:rPr>
        <w:t xml:space="preserve">Animateur régional du PNA Loutre en Pays de la Loire </w:t>
      </w:r>
    </w:p>
    <w:p>
      <w:pPr>
        <w:pStyle w:val="Normal"/>
        <w:tabs>
          <w:tab w:val="clear" w:pos="708"/>
          <w:tab w:val="left" w:pos="1620" w:leader="none"/>
        </w:tabs>
        <w:spacing w:before="0" w:after="120"/>
        <w:jc w:val="right"/>
        <w:rPr>
          <w:rFonts w:ascii="Calibri" w:hAnsi="Calibri" w:cs="Arial"/>
        </w:rPr>
      </w:pPr>
      <w:r>
        <w:rPr>
          <w:rFonts w:cs="Arial" w:ascii="Calibri" w:hAnsi="Calibri"/>
        </w:rPr>
        <mc:AlternateContent>
          <mc:Choice Requires="wps">
            <w:drawing>
              <wp:anchor behindDoc="0" distT="0" distB="25400" distL="0" distR="19050" simplePos="0" locked="0" layoutInCell="0" allowOverlap="1" relativeHeight="76" wp14:anchorId="4CC2D64A">
                <wp:simplePos x="0" y="0"/>
                <wp:positionH relativeFrom="column">
                  <wp:posOffset>4261485</wp:posOffset>
                </wp:positionH>
                <wp:positionV relativeFrom="paragraph">
                  <wp:posOffset>251460</wp:posOffset>
                </wp:positionV>
                <wp:extent cx="1371600" cy="336550"/>
                <wp:effectExtent l="13335" t="12700" r="13335" b="13335"/>
                <wp:wrapNone/>
                <wp:docPr id="1" name="Forme libre 9"/>
                <a:graphic xmlns:a="http://schemas.openxmlformats.org/drawingml/2006/main">
                  <a:graphicData uri="http://schemas.microsoft.com/office/word/2010/wordprocessingShape">
                    <wps:wsp>
                      <wps:cNvSpPr/>
                      <wps:spPr>
                        <a:xfrm>
                          <a:off x="0" y="0"/>
                          <a:ext cx="1371600" cy="336600"/>
                        </a:xfrm>
                        <a:custGeom>
                          <a:avLst/>
                          <a:gdLst/>
                          <a:ahLst/>
                          <a:rect l="l" t="t" r="r" b="b"/>
                          <a:pathLst>
                            <a:path w="1371688" h="336550">
                              <a:moveTo>
                                <a:pt x="450938" y="107950"/>
                              </a:moveTo>
                              <a:cubicBezTo>
                                <a:pt x="489038" y="105833"/>
                                <a:pt x="527282" y="105527"/>
                                <a:pt x="565238" y="101600"/>
                              </a:cubicBezTo>
                              <a:cubicBezTo>
                                <a:pt x="588777" y="99165"/>
                                <a:pt x="611443" y="89885"/>
                                <a:pt x="635088" y="88900"/>
                              </a:cubicBezTo>
                              <a:cubicBezTo>
                                <a:pt x="662662" y="87751"/>
                                <a:pt x="690121" y="93133"/>
                                <a:pt x="717638" y="95250"/>
                              </a:cubicBezTo>
                              <a:cubicBezTo>
                                <a:pt x="715521" y="112183"/>
                                <a:pt x="717120" y="130012"/>
                                <a:pt x="711288" y="146050"/>
                              </a:cubicBezTo>
                              <a:cubicBezTo>
                                <a:pt x="702729" y="169588"/>
                                <a:pt x="679263" y="167117"/>
                                <a:pt x="660488" y="171450"/>
                              </a:cubicBezTo>
                              <a:cubicBezTo>
                                <a:pt x="643481" y="175375"/>
                                <a:pt x="626804" y="180727"/>
                                <a:pt x="609688" y="184150"/>
                              </a:cubicBezTo>
                              <a:cubicBezTo>
                                <a:pt x="513539" y="203380"/>
                                <a:pt x="556307" y="192080"/>
                                <a:pt x="463638" y="203200"/>
                              </a:cubicBezTo>
                              <a:cubicBezTo>
                                <a:pt x="433917" y="206767"/>
                                <a:pt x="404371" y="211667"/>
                                <a:pt x="374738" y="215900"/>
                              </a:cubicBezTo>
                              <a:cubicBezTo>
                                <a:pt x="387438" y="211667"/>
                                <a:pt x="399451" y="203200"/>
                                <a:pt x="412838" y="203200"/>
                              </a:cubicBezTo>
                              <a:cubicBezTo>
                                <a:pt x="565350" y="203200"/>
                                <a:pt x="552939" y="201713"/>
                                <a:pt x="635088" y="222250"/>
                              </a:cubicBezTo>
                              <a:cubicBezTo>
                                <a:pt x="632971" y="230717"/>
                                <a:pt x="633579" y="240388"/>
                                <a:pt x="628738" y="247650"/>
                              </a:cubicBezTo>
                              <a:cubicBezTo>
                                <a:pt x="618448" y="263085"/>
                                <a:pt x="598771" y="260907"/>
                                <a:pt x="584288" y="266700"/>
                              </a:cubicBezTo>
                              <a:cubicBezTo>
                                <a:pt x="555327" y="278285"/>
                                <a:pt x="518370" y="304632"/>
                                <a:pt x="489038" y="311150"/>
                              </a:cubicBezTo>
                              <a:cubicBezTo>
                                <a:pt x="432640" y="323683"/>
                                <a:pt x="317588" y="336550"/>
                                <a:pt x="317588" y="336550"/>
                              </a:cubicBezTo>
                              <a:lnTo>
                                <a:pt x="19138" y="323850"/>
                              </a:lnTo>
                              <a:cubicBezTo>
                                <a:pt x="12457" y="323449"/>
                                <a:pt x="-1225" y="324064"/>
                                <a:pt x="88" y="317500"/>
                              </a:cubicBezTo>
                              <a:cubicBezTo>
                                <a:pt x="5832" y="288780"/>
                                <a:pt x="70906" y="277641"/>
                                <a:pt x="82638" y="273050"/>
                              </a:cubicBezTo>
                              <a:cubicBezTo>
                                <a:pt x="198327" y="227780"/>
                                <a:pt x="158042" y="233183"/>
                                <a:pt x="292188" y="190500"/>
                              </a:cubicBezTo>
                              <a:cubicBezTo>
                                <a:pt x="427671" y="147392"/>
                                <a:pt x="467847" y="144646"/>
                                <a:pt x="603338" y="107950"/>
                              </a:cubicBezTo>
                              <a:cubicBezTo>
                                <a:pt x="654415" y="94117"/>
                                <a:pt x="703520" y="72073"/>
                                <a:pt x="755738" y="63500"/>
                              </a:cubicBezTo>
                              <a:cubicBezTo>
                                <a:pt x="845940" y="48691"/>
                                <a:pt x="937881" y="47669"/>
                                <a:pt x="1028788" y="38100"/>
                              </a:cubicBezTo>
                              <a:lnTo>
                                <a:pt x="1149438" y="25400"/>
                              </a:lnTo>
                              <a:cubicBezTo>
                                <a:pt x="1223082" y="16473"/>
                                <a:pt x="1297258" y="0"/>
                                <a:pt x="1371688" y="0"/>
                              </a:cubicBezTo>
                            </a:path>
                          </a:pathLst>
                        </a:custGeom>
                        <a:noFill/>
                        <a:ln>
                          <a:solidFill>
                            <a:srgbClr val="000000"/>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mc:Fallback>
        </mc:AlternateContent>
      </w:r>
    </w:p>
    <w:p>
      <w:pPr>
        <w:pStyle w:val="Normal"/>
        <w:rPr>
          <w:rFonts w:ascii="Calibri" w:hAnsi="Calibri" w:cs="Arial"/>
        </w:rPr>
      </w:pPr>
      <w:r>
        <w:rPr>
          <w:rFonts w:cs="Arial" w:ascii="Calibri" w:hAnsi="Calibri"/>
        </w:rPr>
      </w:r>
      <w:r>
        <w:br w:type="page"/>
      </w:r>
    </w:p>
    <w:p>
      <w:pPr>
        <w:pStyle w:val="Normal"/>
        <w:spacing w:lineRule="auto" w:line="369"/>
        <w:ind w:left="1999" w:right="214" w:hanging="871"/>
        <w:rPr/>
      </w:pPr>
      <w:r>
        <w:drawing>
          <wp:anchor behindDoc="0" distT="0" distB="0" distL="114300" distR="114300" simplePos="0" locked="0" layoutInCell="0" allowOverlap="1" relativeHeight="77">
            <wp:simplePos x="0" y="0"/>
            <wp:positionH relativeFrom="column">
              <wp:posOffset>5454650</wp:posOffset>
            </wp:positionH>
            <wp:positionV relativeFrom="paragraph">
              <wp:posOffset>-35560</wp:posOffset>
            </wp:positionV>
            <wp:extent cx="965835" cy="958215"/>
            <wp:effectExtent l="0" t="0" r="0" b="0"/>
            <wp:wrapSquare wrapText="bothSides"/>
            <wp:docPr id="2" name="Picture 4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02" descr=""/>
                    <pic:cNvPicPr>
                      <a:picLocks noChangeAspect="1" noChangeArrowheads="1"/>
                    </pic:cNvPicPr>
                  </pic:nvPicPr>
                  <pic:blipFill>
                    <a:blip r:embed="rId3"/>
                    <a:stretch>
                      <a:fillRect/>
                    </a:stretch>
                  </pic:blipFill>
                  <pic:spPr bwMode="auto">
                    <a:xfrm>
                      <a:off x="0" y="0"/>
                      <a:ext cx="965835" cy="958215"/>
                    </a:xfrm>
                    <a:prstGeom prst="rect">
                      <a:avLst/>
                    </a:prstGeom>
                  </pic:spPr>
                </pic:pic>
              </a:graphicData>
            </a:graphic>
          </wp:anchor>
        </w:drawing>
      </w:r>
      <w:r>
        <w:rPr>
          <w:rFonts w:eastAsia="Calibri" w:cs="Calibri" w:ascii="Calibri" w:hAnsi="Calibri"/>
          <w:b/>
          <w:sz w:val="28"/>
        </w:rPr>
        <w:t xml:space="preserve">Protocole de réalisation d’un prélèvement génétique sur spécimen de loutre trouvée morte </w:t>
      </w:r>
    </w:p>
    <w:p>
      <w:pPr>
        <w:pStyle w:val="Normal"/>
        <w:spacing w:before="0" w:after="156"/>
        <w:ind w:right="214" w:hanging="0"/>
        <w:rPr/>
      </w:pPr>
      <w:r>
        <w:rPr>
          <w:rFonts w:eastAsia="Calibri" w:cs="Calibri" w:ascii="Calibri" w:hAnsi="Calibri"/>
          <w:b/>
        </w:rPr>
        <w:t xml:space="preserve"> </w:t>
      </w:r>
    </w:p>
    <w:p>
      <w:pPr>
        <w:pStyle w:val="Normal"/>
        <w:spacing w:before="0" w:after="191"/>
        <w:ind w:left="-5" w:hanging="10"/>
        <w:rPr/>
      </w:pPr>
      <w:r>
        <w:rPr>
          <w:rFonts w:eastAsia="Calibri" w:cs="Calibri" w:ascii="Calibri" w:hAnsi="Calibri"/>
          <w:b/>
        </w:rPr>
        <w:t xml:space="preserve">Étapes du protocole </w:t>
      </w:r>
    </w:p>
    <w:p>
      <w:pPr>
        <w:pStyle w:val="Normal"/>
        <w:numPr>
          <w:ilvl w:val="0"/>
          <w:numId w:val="2"/>
        </w:numPr>
        <w:spacing w:lineRule="auto" w:line="259"/>
        <w:ind w:left="705" w:hanging="360"/>
        <w:jc w:val="both"/>
        <w:rPr/>
      </w:pPr>
      <w:r>
        <w:rPr/>
        <w:t xml:space="preserve">Avoir pris connaissances des précautions hygiène &amp; sécurité du manuel détaillé. </w:t>
      </w:r>
    </w:p>
    <w:p>
      <w:pPr>
        <w:pStyle w:val="Normal"/>
        <w:spacing w:before="0" w:after="30"/>
        <w:ind w:left="720" w:hanging="0"/>
        <w:rPr/>
      </w:pPr>
      <w:r>
        <w:rPr/>
        <w:t xml:space="preserve"> </w:t>
      </w:r>
    </w:p>
    <w:p>
      <w:pPr>
        <w:pStyle w:val="Normal"/>
        <w:numPr>
          <w:ilvl w:val="0"/>
          <w:numId w:val="2"/>
        </w:numPr>
        <w:spacing w:lineRule="auto" w:line="259" w:before="0" w:after="159"/>
        <w:ind w:left="705" w:hanging="360"/>
        <w:jc w:val="both"/>
        <w:rPr/>
      </w:pPr>
      <w:r>
        <w:rPr/>
        <w:t xml:space="preserve">Prendre une photo du spécimen et, si possible, le sexer. </w:t>
      </w:r>
    </w:p>
    <w:p>
      <w:pPr>
        <w:pStyle w:val="Normal"/>
        <w:spacing w:before="0" w:after="11"/>
        <w:rPr/>
      </w:pPr>
      <w:r>
        <w:rPr/>
        <w:t xml:space="preserve"> </w:t>
      </w:r>
    </w:p>
    <w:p>
      <w:pPr>
        <w:pStyle w:val="Normal"/>
        <w:numPr>
          <w:ilvl w:val="0"/>
          <w:numId w:val="2"/>
        </w:numPr>
        <w:spacing w:lineRule="auto" w:line="259" w:before="0" w:after="3"/>
        <w:ind w:left="705" w:hanging="360"/>
        <w:jc w:val="both"/>
        <w:rPr/>
      </w:pPr>
      <w:r>
        <w:rPr>
          <w:u w:val="single" w:color="000000"/>
        </w:rPr>
        <w:t>Remplir la fiche</w:t>
      </w:r>
      <w:r>
        <w:rPr>
          <w:rFonts w:eastAsia="Calibri" w:cs="Calibri" w:ascii="Calibri" w:hAnsi="Calibri"/>
          <w:b/>
        </w:rPr>
        <w:t xml:space="preserve"> « VALORISATION DES CADAVRES DE LOUTRES – NIVEAU 1, FICHE DE COMMEMORATIFS – </w:t>
      </w:r>
    </w:p>
    <w:p>
      <w:pPr>
        <w:pStyle w:val="Normal"/>
        <w:spacing w:lineRule="auto" w:line="259" w:before="0" w:after="2"/>
        <w:ind w:left="715" w:right="-11" w:hanging="10"/>
        <w:rPr/>
      </w:pPr>
      <w:r>
        <w:rPr>
          <w:rFonts w:eastAsia="Calibri" w:cs="Calibri" w:ascii="Calibri" w:hAnsi="Calibri"/>
          <w:b/>
        </w:rPr>
        <w:t>SPECIMENS DE LOUTRE</w:t>
      </w:r>
      <w:r>
        <w:rPr>
          <w:rStyle w:val="Ancredenotedebasdepage"/>
          <w:rFonts w:eastAsia="Calibri" w:cs="Calibri" w:ascii="Calibri" w:hAnsi="Calibri"/>
          <w:b/>
          <w:vertAlign w:val="superscript"/>
        </w:rPr>
        <w:footnoteReference w:id="2"/>
      </w:r>
      <w:r>
        <w:rPr>
          <w:rFonts w:eastAsia="Calibri" w:cs="Calibri" w:ascii="Calibri" w:hAnsi="Calibri"/>
          <w:b/>
        </w:rPr>
        <w:t xml:space="preserve"> »,</w:t>
      </w:r>
      <w:r>
        <w:rPr/>
        <w:t xml:space="preserve"> </w:t>
      </w:r>
      <w:r>
        <w:rPr>
          <w:rFonts w:eastAsia="Calibri" w:cs="Calibri" w:ascii="Calibri" w:hAnsi="Calibri"/>
        </w:rPr>
        <w:t>au crayon à papier (dont l’écriture résiste à l’humidité, à la congélation, à l’eau, etc.) avec le numéro unique de l’animal («</w:t>
      </w:r>
      <w:r>
        <w:rPr/>
        <w:t xml:space="preserve"> </w:t>
      </w:r>
      <w:r>
        <w:rPr>
          <w:rFonts w:eastAsia="Calibri" w:cs="Calibri" w:ascii="Calibri" w:hAnsi="Calibri"/>
          <w:b/>
        </w:rPr>
        <w:t>LLU_AnnéeMoisJour_Code INSEE commune_N°d’ordre pour le jour</w:t>
      </w:r>
      <w:r>
        <w:rPr/>
        <w:t xml:space="preserve"> », </w:t>
      </w:r>
      <w:r>
        <w:rPr>
          <w:rFonts w:eastAsia="Calibri" w:cs="Calibri" w:ascii="Calibri" w:hAnsi="Calibri"/>
          <w:i/>
          <w:color w:val="A6A6A6"/>
        </w:rPr>
        <w:t>exemple : LLU_20220801_73340_01</w:t>
      </w:r>
      <w:r>
        <w:rPr/>
        <w:t xml:space="preserve">).  </w:t>
      </w:r>
    </w:p>
    <w:p>
      <w:pPr>
        <w:pStyle w:val="Normal"/>
        <w:spacing w:before="0" w:after="30"/>
        <w:ind w:left="720" w:hanging="0"/>
        <w:rPr/>
      </w:pPr>
      <w:r>
        <w:rPr/>
        <w:t xml:space="preserve"> </w:t>
      </w:r>
    </w:p>
    <w:p>
      <w:pPr>
        <w:pStyle w:val="Normal"/>
        <w:numPr>
          <w:ilvl w:val="0"/>
          <w:numId w:val="2"/>
        </w:numPr>
        <w:spacing w:lineRule="auto" w:line="259" w:before="0" w:after="159"/>
        <w:ind w:left="705" w:hanging="360"/>
        <w:jc w:val="both"/>
        <w:rPr/>
      </w:pPr>
      <w:r>
        <w:rPr>
          <w:u w:val="single" w:color="000000"/>
        </w:rPr>
        <w:t>Réaliser un prélèvement génétique</w:t>
      </w:r>
      <w:r>
        <w:rPr/>
        <w:t xml:space="preserve"> : avec des gants, découper </w:t>
      </w:r>
      <w:r>
        <w:rPr>
          <w:rFonts w:eastAsia="Calibri" w:cs="Calibri" w:ascii="Calibri" w:hAnsi="Calibri"/>
        </w:rPr>
        <w:t>à l’aide des</w:t>
      </w:r>
      <w:r>
        <w:rPr/>
        <w:t xml:space="preserve"> ciseaux de dissection </w:t>
      </w:r>
      <w:r>
        <w:rPr>
          <w:rFonts w:eastAsia="Calibri" w:cs="Calibri" w:ascii="Calibri" w:hAnsi="Calibri"/>
        </w:rPr>
        <w:t xml:space="preserve">0,5 cm² d’oreille </w:t>
      </w:r>
      <w:r>
        <w:rPr/>
        <w:t>ou de peau ou 1 cm</w:t>
      </w:r>
      <w:r>
        <w:rPr>
          <w:vertAlign w:val="superscript"/>
        </w:rPr>
        <w:t>3</w:t>
      </w:r>
      <w:r>
        <w:rPr/>
        <w:t xml:space="preserve"> de langue ou de muscle, </w:t>
      </w:r>
      <w:r>
        <w:rPr>
          <w:u w:val="single" w:color="000000"/>
        </w:rPr>
        <w:t>en double exemplaire</w:t>
      </w:r>
      <w:r>
        <w:rPr/>
        <w:t xml:space="preserve">, à </w:t>
      </w:r>
      <w:r>
        <w:rPr>
          <w:rFonts w:eastAsia="Calibri" w:cs="Calibri" w:ascii="Calibri" w:hAnsi="Calibri"/>
        </w:rPr>
        <w:t>placer à l’aide de la pince</w:t>
      </w:r>
      <w:r>
        <w:rPr/>
        <w:t xml:space="preserve"> dans deux microtubes de 5 ml contenant </w:t>
      </w:r>
      <w:r>
        <w:rPr>
          <w:rFonts w:eastAsia="Calibri" w:cs="Calibri" w:ascii="Calibri" w:hAnsi="Calibri"/>
        </w:rPr>
        <w:t xml:space="preserve">de l’éthanol à </w:t>
      </w:r>
      <w:r>
        <w:rPr/>
        <w:t xml:space="preserve">96°  non dénaturé. Veiller à ce que chaque échantillon soit totalement </w:t>
      </w:r>
      <w:r>
        <w:rPr>
          <w:rFonts w:eastAsia="Calibri" w:cs="Calibri" w:ascii="Calibri" w:hAnsi="Calibri"/>
        </w:rPr>
        <w:t>baigné dans l’alcool</w:t>
      </w:r>
      <w:r>
        <w:rPr/>
        <w:t xml:space="preserve"> : le prélèvement doit occuper 1/3 du microtube</w:t>
      </w:r>
      <w:r>
        <w:rPr>
          <w:rFonts w:eastAsia="Calibri" w:cs="Calibri" w:ascii="Calibri" w:hAnsi="Calibri"/>
        </w:rPr>
        <w:t>, les 2/3 restants devant contenir de l’alcool</w:t>
      </w:r>
      <w:r>
        <w:rPr/>
        <w:t xml:space="preserve"> (soit environ 4 ml) . Si possible, arracher quelques poils (</w:t>
      </w:r>
      <w:r>
        <w:rPr>
          <w:u w:val="single" w:color="000000"/>
        </w:rPr>
        <w:t>ne pas les couper pour avoir le bulbe</w:t>
      </w:r>
      <w:r>
        <w:rPr/>
        <w:t xml:space="preserve">) et les insérer dans le microtube. Refermer le microtube et bien vérifier que le bouchon soit clipsé </w:t>
      </w:r>
      <w:r>
        <w:rPr>
          <w:rFonts w:eastAsia="Calibri" w:cs="Calibri" w:ascii="Calibri" w:hAnsi="Calibri"/>
        </w:rPr>
        <w:t xml:space="preserve">afin d’éviter toute fuite lors du </w:t>
      </w:r>
      <w:r>
        <w:rPr/>
        <w:t xml:space="preserve">transport. </w:t>
      </w:r>
    </w:p>
    <w:p>
      <w:pPr>
        <w:pStyle w:val="Normal"/>
        <w:spacing w:before="0" w:after="159"/>
        <w:ind w:left="345" w:firstLine="360"/>
        <w:rPr/>
      </w:pPr>
      <w:r>
        <mc:AlternateContent>
          <mc:Choice Requires="wpg">
            <w:drawing>
              <wp:anchor behindDoc="0" distT="0" distB="0" distL="112395" distR="114300" simplePos="0" locked="0" layoutInCell="0" allowOverlap="1" relativeHeight="78" wp14:anchorId="5C4DB4BE">
                <wp:simplePos x="0" y="0"/>
                <wp:positionH relativeFrom="page">
                  <wp:posOffset>504190</wp:posOffset>
                </wp:positionH>
                <wp:positionV relativeFrom="page">
                  <wp:posOffset>9806940</wp:posOffset>
                </wp:positionV>
                <wp:extent cx="1829435" cy="8890"/>
                <wp:effectExtent l="1270" t="0" r="0" b="635"/>
                <wp:wrapTopAndBottom/>
                <wp:docPr id="3" name="Group 2417"/>
                <a:graphic xmlns:a="http://schemas.openxmlformats.org/drawingml/2006/main">
                  <a:graphicData uri="http://schemas.microsoft.com/office/word/2010/wordprocessingGroup">
                    <wpg:wgp>
                      <wpg:cNvGrpSpPr/>
                      <wpg:grpSpPr>
                        <a:xfrm>
                          <a:off x="0" y="0"/>
                          <a:ext cx="1829520" cy="9000"/>
                          <a:chOff x="0" y="0"/>
                          <a:chExt cx="1829520" cy="9000"/>
                        </a:xfrm>
                      </wpg:grpSpPr>
                      <wps:wsp>
                        <wps:cNvSpPr/>
                        <wps:spPr>
                          <a:xfrm>
                            <a:off x="0" y="0"/>
                            <a:ext cx="1829520" cy="9000"/>
                          </a:xfrm>
                          <a:custGeom>
                            <a:avLst/>
                            <a:gdLst/>
                            <a:ahLst/>
                            <a:rect l="l" t="t" r="r" b="b"/>
                            <a:pathLst>
                              <a:path w="1829435" h="9144">
                                <a:moveTo>
                                  <a:pt x="0" y="0"/>
                                </a:moveTo>
                                <a:lnTo>
                                  <a:pt x="1829435" y="0"/>
                                </a:lnTo>
                                <a:lnTo>
                                  <a:pt x="1829435" y="9144"/>
                                </a:lnTo>
                                <a:lnTo>
                                  <a:pt x="0" y="9144"/>
                                </a:lnTo>
                                <a:lnTo>
                                  <a:pt x="0" y="0"/>
                                </a:lnTo>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2417" style="position:absolute;margin-left:39.7pt;margin-top:772.2pt;width:144.05pt;height:0.7pt" coordorigin="794,15444" coordsize="2881,14"/>
            </w:pict>
          </mc:Fallback>
        </mc:AlternateContent>
        <w:drawing>
          <wp:anchor behindDoc="0" distT="0" distB="0" distL="114300" distR="114300" simplePos="0" locked="0" layoutInCell="0" allowOverlap="1" relativeHeight="79">
            <wp:simplePos x="0" y="0"/>
            <wp:positionH relativeFrom="column">
              <wp:posOffset>198120</wp:posOffset>
            </wp:positionH>
            <wp:positionV relativeFrom="paragraph">
              <wp:posOffset>33655</wp:posOffset>
            </wp:positionV>
            <wp:extent cx="477520" cy="419100"/>
            <wp:effectExtent l="0" t="0" r="0" b="0"/>
            <wp:wrapSquare wrapText="bothSides"/>
            <wp:docPr id="4" name="Picture 39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98" descr=""/>
                    <pic:cNvPicPr>
                      <a:picLocks noChangeAspect="1" noChangeArrowheads="1"/>
                    </pic:cNvPicPr>
                  </pic:nvPicPr>
                  <pic:blipFill>
                    <a:blip r:embed="rId4"/>
                    <a:stretch>
                      <a:fillRect/>
                    </a:stretch>
                  </pic:blipFill>
                  <pic:spPr bwMode="auto">
                    <a:xfrm>
                      <a:off x="0" y="0"/>
                      <a:ext cx="477520" cy="419100"/>
                    </a:xfrm>
                    <a:prstGeom prst="rect">
                      <a:avLst/>
                    </a:prstGeom>
                  </pic:spPr>
                </pic:pic>
              </a:graphicData>
            </a:graphic>
          </wp:anchor>
        </w:drawing>
      </w:r>
      <w:r>
        <w:rPr/>
        <w:t xml:space="preserve"> </w:t>
      </w:r>
      <w:r>
        <w:rPr/>
        <w:t xml:space="preserve">Il est indispensable de prendre toutes les précautions pour </w:t>
      </w:r>
      <w:r>
        <w:rPr>
          <w:rFonts w:eastAsia="Calibri" w:cs="Calibri" w:ascii="Calibri" w:hAnsi="Calibri"/>
          <w:b/>
        </w:rPr>
        <w:t xml:space="preserve">ne pas contaminer le microtube </w:t>
      </w:r>
      <w:r>
        <w:rPr/>
        <w:t>: il faut donc porter des gants et éviter de toucher directement le matériel génétique collecté ainsi que le contenu du microtube</w:t>
      </w:r>
      <w:r>
        <w:rPr>
          <w:color w:val="FF0000"/>
        </w:rPr>
        <w:t xml:space="preserve">. </w:t>
      </w:r>
    </w:p>
    <w:p>
      <w:pPr>
        <w:pStyle w:val="Normal"/>
        <w:spacing w:before="0" w:after="30"/>
        <w:ind w:left="720" w:hanging="0"/>
        <w:rPr/>
      </w:pPr>
      <w:r>
        <w:rPr>
          <w:color w:val="FF0000"/>
        </w:rPr>
        <w:t xml:space="preserve"> </w:t>
      </w:r>
    </w:p>
    <w:p>
      <w:pPr>
        <w:pStyle w:val="Normal"/>
        <w:numPr>
          <w:ilvl w:val="0"/>
          <w:numId w:val="2"/>
        </w:numPr>
        <w:spacing w:lineRule="auto" w:line="259"/>
        <w:ind w:left="705" w:hanging="360"/>
        <w:jc w:val="both"/>
        <w:rPr/>
      </w:pPr>
      <w:r>
        <w:rPr>
          <w:u w:val="single" w:color="000000"/>
        </w:rPr>
        <w:t>Référencer les échantillons</w:t>
      </w:r>
      <w:r>
        <w:rPr/>
        <w:t xml:space="preserve"> </w:t>
      </w:r>
      <w:r>
        <w:rPr>
          <w:rFonts w:eastAsia="Calibri" w:cs="Calibri" w:ascii="Calibri" w:hAnsi="Calibri"/>
        </w:rPr>
        <w:t>: noter l’identifiant du spécimen «</w:t>
      </w:r>
      <w:r>
        <w:rPr/>
        <w:t xml:space="preserve"> </w:t>
      </w:r>
      <w:r>
        <w:rPr>
          <w:rFonts w:eastAsia="Calibri" w:cs="Calibri" w:ascii="Calibri" w:hAnsi="Calibri"/>
          <w:b/>
        </w:rPr>
        <w:t>LLU_AnnéeMoisJour_Code INSEE commune_N°d’ordre pour le jour</w:t>
      </w:r>
      <w:r>
        <w:rPr/>
        <w:t xml:space="preserve"> » au crayon à papier sur une étiquette à appliquer sur chaque microtube, puis </w:t>
      </w:r>
      <w:r>
        <w:rPr>
          <w:rFonts w:eastAsia="Calibri" w:cs="Calibri" w:ascii="Calibri" w:hAnsi="Calibri"/>
        </w:rPr>
        <w:t>la recouvrir d’un morceau de scotch.</w:t>
      </w:r>
      <w:r>
        <w:rPr/>
        <w:t xml:space="preserve"> Noter le même identifiant, également au crayon, sur deux petites étiquettes </w:t>
      </w:r>
      <w:r>
        <w:rPr>
          <w:rFonts w:eastAsia="Calibri" w:cs="Calibri" w:ascii="Calibri" w:hAnsi="Calibri"/>
        </w:rPr>
        <w:t xml:space="preserve">d’environ 4 cm de longueur </w:t>
      </w:r>
      <w:r>
        <w:rPr/>
        <w:t xml:space="preserve">et 1 cm de largeur découpées dans une fiche blanche cartonnée (fournie) et en glisser une </w:t>
      </w:r>
      <w:r>
        <w:rPr>
          <w:rFonts w:eastAsia="Calibri" w:cs="Calibri" w:ascii="Calibri" w:hAnsi="Calibri"/>
        </w:rPr>
        <w:t>à l’aide de</w:t>
      </w:r>
      <w:r>
        <w:rPr/>
        <w:t xml:space="preserve"> la pince dans chaque microtube. Placer les deux microtubes dans la boîte fournie. </w:t>
      </w:r>
    </w:p>
    <w:p>
      <w:pPr>
        <w:pStyle w:val="Normal"/>
        <w:spacing w:before="0" w:after="158"/>
        <w:ind w:left="720" w:hanging="0"/>
        <w:rPr/>
      </w:pPr>
      <w:r>
        <w:rPr/>
        <w:t xml:space="preserve"> </w:t>
      </w:r>
    </w:p>
    <w:p>
      <w:pPr>
        <w:pStyle w:val="Normal"/>
        <w:spacing w:lineRule="auto" w:line="259" w:before="0" w:after="158"/>
        <w:ind w:left="705" w:right="-11" w:firstLine="360"/>
        <w:rPr/>
      </w:pPr>
      <w:r>
        <w:drawing>
          <wp:anchor behindDoc="0" distT="0" distB="0" distL="114300" distR="114300" simplePos="0" locked="0" layoutInCell="0" allowOverlap="1" relativeHeight="80">
            <wp:simplePos x="0" y="0"/>
            <wp:positionH relativeFrom="column">
              <wp:posOffset>196850</wp:posOffset>
            </wp:positionH>
            <wp:positionV relativeFrom="paragraph">
              <wp:posOffset>122555</wp:posOffset>
            </wp:positionV>
            <wp:extent cx="525780" cy="460375"/>
            <wp:effectExtent l="0" t="0" r="0" b="0"/>
            <wp:wrapSquare wrapText="bothSides"/>
            <wp:docPr id="5" name="Picture 40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00" descr=""/>
                    <pic:cNvPicPr>
                      <a:picLocks noChangeAspect="1" noChangeArrowheads="1"/>
                    </pic:cNvPicPr>
                  </pic:nvPicPr>
                  <pic:blipFill>
                    <a:blip r:embed="rId5"/>
                    <a:stretch>
                      <a:fillRect/>
                    </a:stretch>
                  </pic:blipFill>
                  <pic:spPr bwMode="auto">
                    <a:xfrm>
                      <a:off x="0" y="0"/>
                      <a:ext cx="525780" cy="460375"/>
                    </a:xfrm>
                    <a:prstGeom prst="rect">
                      <a:avLst/>
                    </a:prstGeom>
                  </pic:spPr>
                </pic:pic>
              </a:graphicData>
            </a:graphic>
          </wp:anchor>
        </w:drawing>
      </w:r>
      <w:r>
        <w:rPr>
          <w:rFonts w:eastAsia="Calibri" w:cs="Calibri" w:ascii="Calibri" w:hAnsi="Calibri"/>
        </w:rPr>
        <w:t xml:space="preserve">ATTENTION, il est impératif d’écrire au crayon à papier sur les étiquettes collées sur les contenants et </w:t>
      </w:r>
      <w:r>
        <w:rPr/>
        <w:t xml:space="preserve">les sachets, et de </w:t>
      </w:r>
      <w:r>
        <w:rPr>
          <w:rFonts w:eastAsia="Calibri" w:cs="Calibri" w:ascii="Calibri" w:hAnsi="Calibri"/>
          <w:b/>
        </w:rPr>
        <w:t xml:space="preserve">les protéger avec un scotch transparent </w:t>
      </w:r>
      <w:r>
        <w:rPr/>
        <w:t xml:space="preserve">(qui sécurise le collage et protège le crayon). </w:t>
      </w:r>
      <w:r>
        <w:rPr>
          <w:rFonts w:eastAsia="Calibri" w:cs="Calibri" w:ascii="Calibri" w:hAnsi="Calibri"/>
          <w:b/>
        </w:rPr>
        <w:t xml:space="preserve">Ne jamais écrire au feutre / marqueur directement </w:t>
      </w:r>
      <w:r>
        <w:rPr/>
        <w:t xml:space="preserve">sur les tubes, car, </w:t>
      </w:r>
      <w:r>
        <w:rPr>
          <w:rFonts w:eastAsia="Calibri" w:cs="Calibri" w:ascii="Calibri" w:hAnsi="Calibri"/>
        </w:rPr>
        <w:t xml:space="preserve">en cas de fuite de l’alcool, ce dernier </w:t>
      </w:r>
      <w:r>
        <w:rPr/>
        <w:t xml:space="preserve">effacera toute écriture ! </w:t>
      </w:r>
    </w:p>
    <w:p>
      <w:pPr>
        <w:pStyle w:val="Normal"/>
        <w:spacing w:before="0" w:after="11"/>
        <w:rPr/>
      </w:pPr>
      <w:r>
        <w:rPr/>
        <w:t xml:space="preserve"> </w:t>
      </w:r>
    </w:p>
    <w:p>
      <w:pPr>
        <w:pStyle w:val="Normal"/>
        <w:numPr>
          <w:ilvl w:val="0"/>
          <w:numId w:val="2"/>
        </w:numPr>
        <w:spacing w:lineRule="auto" w:line="259"/>
        <w:ind w:left="705" w:hanging="360"/>
        <w:jc w:val="both"/>
        <w:rPr/>
      </w:pPr>
      <w:r>
        <w:rPr>
          <w:u w:val="single" w:color="000000"/>
        </w:rPr>
        <w:t>Conserver les échantillons</w:t>
      </w:r>
      <w:r>
        <w:rPr/>
        <w:t xml:space="preserve"> : Placer les deux microtubes dans la seconde boîte à conserver au congélateur (pour </w:t>
      </w:r>
      <w:r>
        <w:rPr>
          <w:rFonts w:eastAsia="Calibri" w:cs="Calibri" w:ascii="Calibri" w:hAnsi="Calibri"/>
        </w:rPr>
        <w:t>limiter les risques d’évaporation de l’alcool) ou, par défaut, au réfrigérateur</w:t>
      </w:r>
      <w:r>
        <w:rPr/>
        <w:t xml:space="preserve">. </w:t>
      </w:r>
    </w:p>
    <w:p>
      <w:pPr>
        <w:pStyle w:val="Normal"/>
        <w:spacing w:before="0" w:after="30"/>
        <w:ind w:left="720" w:hanging="0"/>
        <w:rPr/>
      </w:pPr>
      <w:r>
        <w:rPr/>
        <w:t xml:space="preserve"> </w:t>
      </w:r>
    </w:p>
    <w:p>
      <w:pPr>
        <w:pStyle w:val="Normal"/>
        <w:numPr>
          <w:ilvl w:val="0"/>
          <w:numId w:val="2"/>
        </w:numPr>
        <w:spacing w:lineRule="auto" w:line="259"/>
        <w:ind w:left="705" w:hanging="360"/>
        <w:jc w:val="both"/>
        <w:rPr/>
      </w:pPr>
      <w:r>
        <w:rPr>
          <w:rFonts w:eastAsia="Calibri" w:cs="Calibri" w:ascii="Calibri" w:hAnsi="Calibri"/>
          <w:u w:val="single" w:color="000000"/>
        </w:rPr>
        <w:t>Préparer l’envoi</w:t>
      </w:r>
      <w:r>
        <w:rPr/>
        <w:t xml:space="preserve"> : privilégier un envoi d</w:t>
      </w:r>
      <w:r>
        <w:rPr>
          <w:rFonts w:eastAsia="Calibri" w:cs="Calibri" w:ascii="Calibri" w:hAnsi="Calibri"/>
        </w:rPr>
        <w:t>’échantillons d</w:t>
      </w:r>
      <w:r>
        <w:rPr/>
        <w:t xml:space="preserve">e </w:t>
      </w:r>
      <w:r>
        <w:rPr>
          <w:u w:val="single" w:color="000000"/>
        </w:rPr>
        <w:t>plusieurs</w:t>
      </w:r>
      <w:r>
        <w:rPr/>
        <w:t xml:space="preserve"> spécimens. Placer les microtubes dans une des boîtes fournies. Placer le tout dans une enveloppe à bulles </w:t>
      </w:r>
      <w:r>
        <w:rPr>
          <w:rFonts w:eastAsia="Calibri" w:cs="Calibri" w:ascii="Calibri" w:hAnsi="Calibri"/>
        </w:rPr>
        <w:t xml:space="preserve">ou un petit colis selon la quantité d’échantillons, en y </w:t>
      </w:r>
      <w:r>
        <w:rPr/>
        <w:t xml:space="preserve">incluant les fiches de commémoratifs concernées. Envoyer les échantillons pour contrôle avant leur futur stockage au MNHN à : </w:t>
      </w:r>
      <w:r>
        <w:rPr>
          <w:rFonts w:eastAsia="Calibri" w:cs="Calibri" w:ascii="Calibri" w:hAnsi="Calibri"/>
          <w:b/>
        </w:rPr>
        <w:t xml:space="preserve">SFEPM 19 allée René Ménard 18000 BOURGES. </w:t>
      </w:r>
    </w:p>
    <w:p>
      <w:pPr>
        <w:pStyle w:val="Normal"/>
        <w:spacing w:before="0" w:after="30"/>
        <w:ind w:left="720" w:hanging="0"/>
        <w:rPr/>
      </w:pPr>
      <w:r>
        <w:rPr/>
        <w:t xml:space="preserve"> </w:t>
      </w:r>
    </w:p>
    <w:p>
      <w:pPr>
        <w:pStyle w:val="Normal"/>
        <w:numPr>
          <w:ilvl w:val="0"/>
          <w:numId w:val="2"/>
        </w:numPr>
        <w:spacing w:lineRule="auto" w:line="259" w:before="0" w:after="190"/>
        <w:ind w:left="705" w:hanging="360"/>
        <w:jc w:val="both"/>
        <w:rPr/>
      </w:pPr>
      <w:r>
        <w:rPr/>
        <w:t xml:space="preserve">Envoyer en parallèle </w:t>
      </w:r>
      <w:r>
        <w:rPr>
          <w:rFonts w:eastAsia="Calibri" w:cs="Calibri" w:ascii="Calibri" w:hAnsi="Calibri"/>
        </w:rPr>
        <w:t>à l’animat</w:t>
      </w:r>
      <w:r>
        <w:rPr/>
        <w:t>eur/animatrice du PNA (</w:t>
      </w:r>
      <w:r>
        <w:rPr>
          <w:color w:val="0563C1"/>
          <w:u w:val="single" w:color="0563C1"/>
        </w:rPr>
        <w:t>loutre@sfepm.org</w:t>
      </w:r>
      <w:r>
        <w:rPr/>
        <w:t xml:space="preserve">) par mail une copie des fiches de commémoratifs envoyées par voie postale, les photo référencées (renommées avec </w:t>
      </w:r>
      <w:r>
        <w:rPr>
          <w:rFonts w:eastAsia="Calibri" w:cs="Calibri" w:ascii="Calibri" w:hAnsi="Calibri"/>
        </w:rPr>
        <w:t>l’</w:t>
      </w:r>
      <w:r>
        <w:rPr/>
        <w:t xml:space="preserve">identifiant LLU) et le fichier Excel fourni (« Suivi_prelevements_LLU_Niveau_1.xls ») avec les </w:t>
      </w:r>
      <w:r>
        <w:rPr>
          <w:rFonts w:eastAsia="Calibri" w:cs="Calibri" w:ascii="Calibri" w:hAnsi="Calibri"/>
        </w:rPr>
        <w:t>identifiants LLU concernés par l’envoi.</w:t>
      </w:r>
      <w:r>
        <w:rPr/>
        <w:t xml:space="preserve"> </w:t>
      </w:r>
    </w:p>
    <w:p>
      <w:pPr>
        <w:pStyle w:val="Normal"/>
        <w:rPr/>
      </w:pPr>
      <w:r>
        <w:rPr/>
      </w:r>
      <w:r>
        <w:br w:type="page"/>
      </w:r>
    </w:p>
    <w:p>
      <w:pPr>
        <w:pStyle w:val="Normal"/>
        <w:ind w:left="77" w:hanging="0"/>
        <w:jc w:val="center"/>
        <w:rPr/>
      </w:pPr>
      <w:r>
        <w:rPr>
          <w:rFonts w:eastAsia="Calibri" w:cs="Calibri" w:ascii="Calibri" w:hAnsi="Calibri"/>
        </w:rPr>
        <w:t xml:space="preserve"> </w:t>
      </w:r>
    </w:p>
    <w:p>
      <w:pPr>
        <w:pStyle w:val="Normal"/>
        <w:ind w:left="77" w:hanging="0"/>
        <w:jc w:val="center"/>
        <w:rPr/>
      </w:pPr>
      <w:r>
        <w:rPr>
          <w:rFonts w:eastAsia="Calibri" w:cs="Calibri" w:ascii="Calibri" w:hAnsi="Calibri"/>
        </w:rPr>
        <w:t xml:space="preserve"> </w:t>
      </w:r>
    </w:p>
    <w:p>
      <w:pPr>
        <w:pStyle w:val="Normal"/>
        <w:spacing w:before="0" w:after="200"/>
        <w:ind w:left="77" w:hanging="0"/>
        <w:jc w:val="center"/>
        <w:rPr/>
      </w:pPr>
      <w:r>
        <w:rPr>
          <w:rFonts w:eastAsia="Calibri" w:cs="Calibri" w:ascii="Calibri" w:hAnsi="Calibri"/>
        </w:rPr>
        <w:t xml:space="preserve"> </w:t>
      </w:r>
    </w:p>
    <w:p>
      <w:pPr>
        <w:pStyle w:val="Normal"/>
        <w:spacing w:lineRule="auto" w:line="247"/>
        <w:jc w:val="center"/>
        <w:rPr/>
      </w:pPr>
      <w:r>
        <w:rPr>
          <w:rFonts w:eastAsia="Calibri" w:cs="Calibri" w:ascii="Calibri" w:hAnsi="Calibri"/>
          <w:color w:val="E24301"/>
          <w:sz w:val="44"/>
        </w:rPr>
        <w:t xml:space="preserve">Prélèvements à des fins d’analyses génétiques sur des spécimens de Loutre d’Europe trouvés morts </w:t>
      </w:r>
    </w:p>
    <w:p>
      <w:pPr>
        <w:pStyle w:val="Normal"/>
        <w:ind w:left="111" w:hanging="0"/>
        <w:jc w:val="center"/>
        <w:rPr/>
      </w:pPr>
      <w:r>
        <w:rPr>
          <w:rFonts w:eastAsia="Calibri" w:cs="Calibri" w:ascii="Calibri" w:hAnsi="Calibri"/>
          <w:color w:val="E24301"/>
          <w:sz w:val="44"/>
        </w:rPr>
        <w:t xml:space="preserve"> </w:t>
      </w:r>
    </w:p>
    <w:p>
      <w:pPr>
        <w:pStyle w:val="Normal"/>
        <w:spacing w:before="0" w:after="341"/>
        <w:ind w:left="3297" w:hanging="0"/>
        <w:rPr/>
      </w:pPr>
      <w:r>
        <w:rPr/>
        <w:drawing>
          <wp:inline distT="0" distB="0" distL="0" distR="0">
            <wp:extent cx="2221230" cy="1188720"/>
            <wp:effectExtent l="0" t="0" r="0" b="0"/>
            <wp:docPr id="6" name="Picture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6" descr=""/>
                    <pic:cNvPicPr>
                      <a:picLocks noChangeAspect="1" noChangeArrowheads="1"/>
                    </pic:cNvPicPr>
                  </pic:nvPicPr>
                  <pic:blipFill>
                    <a:blip r:embed="rId6"/>
                    <a:stretch>
                      <a:fillRect/>
                    </a:stretch>
                  </pic:blipFill>
                  <pic:spPr bwMode="auto">
                    <a:xfrm>
                      <a:off x="0" y="0"/>
                      <a:ext cx="2221230" cy="1188720"/>
                    </a:xfrm>
                    <a:prstGeom prst="rect">
                      <a:avLst/>
                    </a:prstGeom>
                  </pic:spPr>
                </pic:pic>
              </a:graphicData>
            </a:graphic>
          </wp:inline>
        </w:drawing>
      </w:r>
    </w:p>
    <w:p>
      <w:pPr>
        <w:pStyle w:val="Normal"/>
        <w:spacing w:before="0" w:after="111"/>
        <w:ind w:left="1661" w:hanging="0"/>
        <w:rPr/>
      </w:pPr>
      <w:r>
        <w:rPr>
          <w:rFonts w:eastAsia="Calibri" w:cs="Calibri" w:ascii="Calibri" w:hAnsi="Calibri"/>
          <w:color w:val="E24301"/>
          <w:sz w:val="34"/>
        </w:rPr>
        <w:t xml:space="preserve">Manuel d’instructions pour les collecteurs de terrain </w:t>
      </w:r>
    </w:p>
    <w:p>
      <w:pPr>
        <w:pStyle w:val="Normal"/>
        <w:spacing w:before="0" w:after="172"/>
        <w:ind w:left="362" w:hanging="0"/>
        <w:jc w:val="center"/>
        <w:rPr/>
      </w:pPr>
      <w:r>
        <w:rPr>
          <w:sz w:val="28"/>
        </w:rPr>
        <w:t xml:space="preserve"> </w:t>
      </w:r>
    </w:p>
    <w:p>
      <w:pPr>
        <w:pStyle w:val="Normal"/>
        <w:spacing w:before="0" w:after="173"/>
        <w:ind w:left="362" w:hanging="0"/>
        <w:jc w:val="center"/>
        <w:rPr/>
      </w:pPr>
      <w:r>
        <w:rPr>
          <w:sz w:val="28"/>
        </w:rPr>
        <w:t xml:space="preserve"> </w:t>
      </w:r>
    </w:p>
    <w:p>
      <w:pPr>
        <w:pStyle w:val="Normal"/>
        <w:spacing w:before="0" w:after="172"/>
        <w:ind w:left="25" w:hanging="0"/>
        <w:rPr/>
      </w:pPr>
      <w:r>
        <w:rPr>
          <w:sz w:val="28"/>
        </w:rPr>
        <w:t xml:space="preserve"> </w:t>
      </w:r>
    </w:p>
    <w:p>
      <w:pPr>
        <w:pStyle w:val="Normal"/>
        <w:spacing w:lineRule="auto" w:line="321" w:before="0" w:after="119"/>
        <w:ind w:left="215" w:firstLine="547"/>
        <w:rPr>
          <w:sz w:val="28"/>
        </w:rPr>
      </w:pPr>
      <w:r>
        <w:rPr>
          <w:rFonts w:eastAsia="Calibri" w:cs="Calibri" w:ascii="Calibri" w:hAnsi="Calibri"/>
          <w:sz w:val="28"/>
        </w:rPr>
        <w:t>Société Française pour l’Etude et la Protection des Mammifères (SFEPM),</w:t>
      </w:r>
      <w:r>
        <w:rPr>
          <w:sz w:val="28"/>
        </w:rPr>
        <w:t xml:space="preserve"> </w:t>
      </w:r>
      <w:r>
        <w:rPr>
          <w:rFonts w:eastAsia="Calibri" w:cs="Calibri" w:ascii="Calibri" w:hAnsi="Calibri"/>
          <w:sz w:val="28"/>
        </w:rPr>
        <w:t>animatrice du Plan National d’Actions en faveur de la Loutre d’Europe 2019</w:t>
      </w:r>
      <w:r>
        <w:rPr>
          <w:sz w:val="28"/>
        </w:rPr>
        <w:t xml:space="preserve">-2028 </w:t>
      </w:r>
    </w:p>
    <w:p>
      <w:pPr>
        <w:pStyle w:val="Normal"/>
        <w:spacing w:lineRule="auto" w:line="321" w:before="0" w:after="119"/>
        <w:ind w:left="215" w:firstLine="547"/>
        <w:rPr/>
      </w:pPr>
      <w:r>
        <w:rPr>
          <w:sz w:val="28"/>
        </w:rPr>
        <w:t xml:space="preserve">Décembre 2022 </w:t>
      </w:r>
    </w:p>
    <w:p>
      <w:pPr>
        <w:pStyle w:val="Normal"/>
        <w:spacing w:before="0" w:after="154"/>
        <w:rPr/>
      </w:pPr>
      <w:r>
        <w:rPr>
          <w:rFonts w:eastAsia="Calibri" w:cs="Calibri" w:ascii="Calibri" w:hAnsi="Calibri"/>
          <w:sz w:val="34"/>
        </w:rPr>
        <w:t xml:space="preserve"> </w:t>
      </w:r>
    </w:p>
    <w:p>
      <w:pPr>
        <w:pStyle w:val="Normal"/>
        <w:ind w:right="1167" w:hanging="0"/>
        <w:rPr/>
      </w:pPr>
      <w:r>
        <w:rPr>
          <w:rFonts w:eastAsia="Calibri" w:cs="Calibri" w:ascii="Calibri" w:hAnsi="Calibri"/>
          <w:sz w:val="34"/>
        </w:rPr>
        <w:t xml:space="preserve"> </w:t>
      </w:r>
    </w:p>
    <w:p>
      <w:pPr>
        <w:pStyle w:val="Normal"/>
        <w:ind w:left="1177" w:hanging="0"/>
        <w:rPr/>
      </w:pPr>
      <w:r>
        <w:rPr/>
        <mc:AlternateContent>
          <mc:Choice Requires="wpg">
            <w:drawing>
              <wp:inline distT="0" distB="0" distL="0" distR="0" wp14:anchorId="0B5AD8B1">
                <wp:extent cx="4290695" cy="2705735"/>
                <wp:effectExtent l="0" t="0" r="0" b="0"/>
                <wp:docPr id="7" name="Forme3"/>
                <a:graphic xmlns:a="http://schemas.openxmlformats.org/drawingml/2006/main">
                  <a:graphicData uri="http://schemas.microsoft.com/office/word/2010/wordprocessingGroup">
                    <wpg:wgp>
                      <wpg:cNvGrpSpPr/>
                      <wpg:grpSpPr>
                        <a:xfrm>
                          <a:off x="0" y="0"/>
                          <a:ext cx="4290840" cy="2705760"/>
                          <a:chOff x="0" y="0"/>
                          <a:chExt cx="4290840" cy="2705760"/>
                        </a:xfrm>
                      </wpg:grpSpPr>
                      <wps:wsp>
                        <wps:cNvSpPr/>
                        <wps:spPr>
                          <a:xfrm>
                            <a:off x="1539360" y="595080"/>
                            <a:ext cx="167040" cy="340200"/>
                          </a:xfrm>
                          <a:prstGeom prst="rect">
                            <a:avLst/>
                          </a:prstGeom>
                          <a:noFill/>
                          <a:ln w="0">
                            <a:noFill/>
                          </a:ln>
                        </wps:spPr>
                        <wps:style>
                          <a:lnRef idx="0"/>
                          <a:fillRef idx="0"/>
                          <a:effectRef idx="0"/>
                          <a:fontRef idx="minor"/>
                        </wps:style>
                        <wps:txbx>
                          <w:txbxContent>
                            <w:p>
                              <w:pPr>
                                <w:overflowPunct w:val="false"/>
                                <w:spacing w:before="0" w:after="160" w:lineRule="auto" w:line="240"/>
                                <w:jc w:val="left"/>
                                <w:rPr/>
                              </w:pPr>
                              <w:r>
                                <w:rPr>
                                  <w:sz w:val="34"/>
                                  <w:b w:val="false"/>
                                  <w:u w:val="none"/>
                                  <w:dstrike w:val="false"/>
                                  <w:strike w:val="false"/>
                                  <w:i w:val="false"/>
                                  <w:vertAlign w:val="baseline"/>
                                  <w:position w:val="0"/>
                                  <w:spacing w:val="0"/>
                                  <w:szCs w:val="34"/>
                                  <w:bCs w:val="false"/>
                                  <w:iCs w:val="false"/>
                                  <w:smallCaps w:val="false"/>
                                  <w:caps w:val="false"/>
                                  <w:rFonts w:ascii="Calibri" w:hAnsi="Calibri" w:eastAsia="Calibri" w:cs="Calibri"/>
                                  <w:color w:val="E24301"/>
                                  <w:lang w:eastAsia="fr-FR"/>
                                </w:rPr>
                                <w:t xml:space="preserve"> </w:t>
                              </w:r>
                            </w:p>
                          </w:txbxContent>
                        </wps:txbx>
                        <wps:bodyPr horzOverflow="overflow" lIns="0" rIns="0" tIns="0" bIns="0" anchor="t">
                          <a:noAutofit/>
                        </wps:bodyPr>
                      </wps:wsp>
                      <pic:pic xmlns:pic="http://schemas.openxmlformats.org/drawingml/2006/picture">
                        <pic:nvPicPr>
                          <pic:cNvPr id="0" name="Picture 38" descr=""/>
                          <pic:cNvPicPr/>
                        </pic:nvPicPr>
                        <pic:blipFill>
                          <a:blip r:embed="rId7"/>
                          <a:stretch/>
                        </pic:blipFill>
                        <pic:spPr>
                          <a:xfrm>
                            <a:off x="2578680" y="1155600"/>
                            <a:ext cx="1291680" cy="1267920"/>
                          </a:xfrm>
                          <a:prstGeom prst="rect">
                            <a:avLst/>
                          </a:prstGeom>
                          <a:ln w="0">
                            <a:noFill/>
                          </a:ln>
                        </pic:spPr>
                      </pic:pic>
                      <pic:pic xmlns:pic="http://schemas.openxmlformats.org/drawingml/2006/picture">
                        <pic:nvPicPr>
                          <pic:cNvPr id="1" name="Picture 40" descr=""/>
                          <pic:cNvPicPr/>
                        </pic:nvPicPr>
                        <pic:blipFill>
                          <a:blip r:embed="rId8"/>
                          <a:stretch/>
                        </pic:blipFill>
                        <pic:spPr>
                          <a:xfrm>
                            <a:off x="2149560" y="30600"/>
                            <a:ext cx="2141280" cy="1001520"/>
                          </a:xfrm>
                          <a:prstGeom prst="rect">
                            <a:avLst/>
                          </a:prstGeom>
                          <a:ln w="0">
                            <a:noFill/>
                          </a:ln>
                        </pic:spPr>
                      </pic:pic>
                      <pic:pic xmlns:pic="http://schemas.openxmlformats.org/drawingml/2006/picture">
                        <pic:nvPicPr>
                          <pic:cNvPr id="2" name="Picture 42" descr=""/>
                          <pic:cNvPicPr/>
                        </pic:nvPicPr>
                        <pic:blipFill>
                          <a:blip r:embed="rId9"/>
                          <a:stretch/>
                        </pic:blipFill>
                        <pic:spPr>
                          <a:xfrm>
                            <a:off x="0" y="0"/>
                            <a:ext cx="1927800" cy="1373040"/>
                          </a:xfrm>
                          <a:prstGeom prst="rect">
                            <a:avLst/>
                          </a:prstGeom>
                          <a:ln w="0">
                            <a:noFill/>
                          </a:ln>
                        </pic:spPr>
                      </pic:pic>
                      <pic:pic xmlns:pic="http://schemas.openxmlformats.org/drawingml/2006/picture">
                        <pic:nvPicPr>
                          <pic:cNvPr id="3" name="Picture 44" descr=""/>
                          <pic:cNvPicPr/>
                        </pic:nvPicPr>
                        <pic:blipFill>
                          <a:blip r:embed="rId10"/>
                          <a:stretch/>
                        </pic:blipFill>
                        <pic:spPr>
                          <a:xfrm>
                            <a:off x="7560" y="1311120"/>
                            <a:ext cx="2217960" cy="1394640"/>
                          </a:xfrm>
                          <a:prstGeom prst="rect">
                            <a:avLst/>
                          </a:prstGeom>
                          <a:ln w="0">
                            <a:noFill/>
                          </a:ln>
                        </pic:spPr>
                      </pic:pic>
                    </wpg:wgp>
                  </a:graphicData>
                </a:graphic>
              </wp:inline>
            </w:drawing>
          </mc:Choice>
          <mc:Fallback>
            <w:pict>
              <v:group id="shape_0" alt="Forme3" style="position:absolute;margin-left:0pt;margin-top:-213.1pt;width:337.85pt;height:213.05pt" coordorigin="0,-4262" coordsize="6757,4261">
                <v:rect id="shape_0" ID="Rectangle 34" path="m0,0l-2147483645,0l-2147483645,-2147483646l0,-2147483646xe" stroked="f" o:allowincell="f" style="position:absolute;left:2424;top:-3325;width:262;height:535;mso-wrap-style:square;v-text-anchor:top;mso-position-vertical:top">
                  <v:textbox>
                    <w:txbxContent>
                      <w:p>
                        <w:pPr>
                          <w:overflowPunct w:val="false"/>
                          <w:spacing w:before="0" w:after="160" w:lineRule="auto" w:line="240"/>
                          <w:jc w:val="left"/>
                          <w:rPr/>
                        </w:pPr>
                        <w:r>
                          <w:rPr>
                            <w:sz w:val="34"/>
                            <w:b w:val="false"/>
                            <w:u w:val="none"/>
                            <w:dstrike w:val="false"/>
                            <w:strike w:val="false"/>
                            <w:i w:val="false"/>
                            <w:vertAlign w:val="baseline"/>
                            <w:position w:val="0"/>
                            <w:spacing w:val="0"/>
                            <w:szCs w:val="34"/>
                            <w:bCs w:val="false"/>
                            <w:iCs w:val="false"/>
                            <w:smallCaps w:val="false"/>
                            <w:caps w:val="false"/>
                            <w:rFonts w:ascii="Calibri" w:hAnsi="Calibri" w:eastAsia="Calibri" w:cs="Calibri"/>
                            <w:color w:val="E24301"/>
                            <w:lang w:eastAsia="fr-FR"/>
                          </w:rPr>
                          <w:t xml:space="preserve"> </w:t>
                        </w:r>
                      </w:p>
                    </w:txbxContent>
                  </v:textbox>
                  <v:fill o:detectmouseclick="t" on="false"/>
                  <v:stroke color="#3465a4" joinstyle="round" endcap="flat"/>
                  <w10:wrap type="square"/>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Picture 38" stroked="f" o:allowincell="f" style="position:absolute;left:4061;top:-2442;width:2033;height:1996;mso-wrap-style:none;v-text-anchor:middle;mso-position-vertical:top" type="_x0000_t75">
                  <v:imagedata r:id="rId7" o:detectmouseclick="t"/>
                  <v:stroke color="#3465a4" joinstyle="round" endcap="flat"/>
                  <w10:wrap type="square"/>
                </v:shape>
                <v:shape id="shape_0" ID="Picture 40" stroked="f" o:allowincell="f" style="position:absolute;left:3385;top:-4214;width:3371;height:1576;mso-wrap-style:none;v-text-anchor:middle;mso-position-vertical:top" type="_x0000_t75">
                  <v:imagedata r:id="rId8" o:detectmouseclick="t"/>
                  <v:stroke color="#3465a4" joinstyle="round" endcap="flat"/>
                  <w10:wrap type="square"/>
                </v:shape>
                <v:shape id="shape_0" ID="Picture 42" stroked="f" o:allowincell="f" style="position:absolute;left:0;top:-4262;width:3035;height:2161;mso-wrap-style:none;v-text-anchor:middle;mso-position-vertical:top" type="_x0000_t75">
                  <v:imagedata r:id="rId9" o:detectmouseclick="t"/>
                  <v:stroke color="#3465a4" joinstyle="round" endcap="flat"/>
                  <w10:wrap type="square"/>
                </v:shape>
                <v:shape id="shape_0" ID="Picture 44" stroked="f" o:allowincell="f" style="position:absolute;left:12;top:-2197;width:3492;height:2195;mso-wrap-style:none;v-text-anchor:middle;mso-position-vertical:top" type="_x0000_t75">
                  <v:imagedata r:id="rId10" o:detectmouseclick="t"/>
                  <v:stroke color="#3465a4" joinstyle="round" endcap="flat"/>
                  <w10:wrap type="square"/>
                </v:shape>
              </v:group>
            </w:pict>
          </mc:Fallback>
        </mc:AlternateContent>
      </w:r>
    </w:p>
    <w:p>
      <w:pPr>
        <w:pStyle w:val="Normal"/>
        <w:spacing w:before="0" w:after="233"/>
        <w:ind w:left="531" w:hanging="0"/>
        <w:jc w:val="center"/>
        <w:rPr/>
      </w:pPr>
      <w:r>
        <w:rPr>
          <w:rFonts w:eastAsia="Calibri" w:cs="Calibri" w:ascii="Calibri" w:hAnsi="Calibri"/>
          <w:sz w:val="34"/>
        </w:rPr>
        <w:t xml:space="preserve"> </w:t>
      </w:r>
    </w:p>
    <w:p>
      <w:pPr>
        <w:pStyle w:val="Titre1"/>
        <w:spacing w:before="280" w:after="280"/>
        <w:ind w:left="308" w:hanging="0"/>
        <w:rPr/>
      </w:pPr>
      <w:bookmarkStart w:id="4" w:name="_Toc222740195"/>
      <w:r>
        <w:rPr>
          <w:rFonts w:cs="Calibri" w:ascii="Calibri" w:hAnsi="Calibri"/>
        </w:rPr>
        <w:t>Table des matières</w:t>
      </w:r>
      <w:bookmarkEnd w:id="4"/>
      <w:r>
        <w:rPr>
          <w:rFonts w:cs="Calibri" w:ascii="Calibri" w:hAnsi="Calibri"/>
        </w:rPr>
        <w:t xml:space="preserve"> </w:t>
      </w:r>
    </w:p>
    <w:p>
      <w:pPr>
        <w:pStyle w:val="Normal"/>
        <w:spacing w:before="0" w:after="110"/>
        <w:ind w:left="308" w:hanging="0"/>
        <w:rPr/>
      </w:pPr>
      <w:r>
        <w:rPr/>
        <w:t xml:space="preserve"> </w:t>
      </w:r>
    </w:p>
    <w:sdt>
      <w:sdtPr>
        <w:docPartObj>
          <w:docPartGallery w:val="Table of Contents"/>
          <w:docPartUnique w:val="true"/>
        </w:docPartObj>
      </w:sdtPr>
      <w:sdtContent>
        <w:p>
          <w:pPr>
            <w:pStyle w:val="Tabledesmatiresniveau1"/>
            <w:tabs>
              <w:tab w:val="clear" w:pos="708"/>
              <w:tab w:val="right" w:pos="9111" w:leader="dot"/>
            </w:tabs>
            <w:rPr>
              <w:rFonts w:ascii="Calibri" w:hAnsi="Calibri" w:eastAsia="" w:cs="" w:asciiTheme="minorHAnsi" w:cstheme="minorBidi" w:eastAsiaTheme="minorEastAsia" w:hAnsiTheme="minorHAnsi"/>
              <w:b w:val="false"/>
              <w:b w:val="false"/>
              <w:color w:val="auto"/>
            </w:rPr>
          </w:pPr>
          <w:r>
            <w:fldChar w:fldCharType="begin"/>
          </w:r>
          <w:r>
            <w:rPr>
              <w:webHidden/>
              <w:rStyle w:val="Sautdindex"/>
              <w:rFonts w:eastAsia="Times New Roman" w:cs="Arial"/>
            </w:rPr>
            <w:instrText xml:space="preserve"> TOC \z \o "1-2" \u \h</w:instrText>
          </w:r>
          <w:r>
            <w:rPr>
              <w:webHidden/>
              <w:rStyle w:val="Sautdindex"/>
              <w:rFonts w:eastAsia="Times New Roman" w:cs="Arial"/>
            </w:rPr>
            <w:fldChar w:fldCharType="separate"/>
          </w:r>
          <w:hyperlink w:anchor="_Toc222740192">
            <w:r>
              <w:rPr>
                <w:webHidden/>
                <w:rStyle w:val="Sautdindex"/>
                <w:rFonts w:eastAsia="Times New Roman" w:cs="Arial"/>
              </w:rPr>
              <w:t>Angers, le 09/02/2026</w:t>
            </w:r>
            <w:r>
              <w:rPr>
                <w:webHidden/>
              </w:rPr>
              <w:fldChar w:fldCharType="begin"/>
            </w:r>
            <w:r>
              <w:rPr>
                <w:webHidden/>
              </w:rPr>
              <w:instrText xml:space="preserve">PAGEREF _Toc222740192 \h</w:instrText>
            </w:r>
            <w:r>
              <w:rPr>
                <w:webHidden/>
              </w:rPr>
              <w:fldChar w:fldCharType="separate"/>
            </w:r>
            <w:r>
              <w:rPr>
                <w:rStyle w:val="Sautdindex"/>
                <w:vanish w:val="false"/>
              </w:rPr>
              <w:tab/>
              <w:t>1</w:t>
            </w:r>
            <w:r>
              <w:rPr>
                <w:webHidden/>
              </w:rPr>
              <w:fldChar w:fldCharType="end"/>
            </w:r>
          </w:hyperlink>
        </w:p>
        <w:p>
          <w:pPr>
            <w:pStyle w:val="Tabledesmatiresniveau1"/>
            <w:tabs>
              <w:tab w:val="clear" w:pos="708"/>
              <w:tab w:val="right" w:pos="9111" w:leader="dot"/>
            </w:tabs>
            <w:rPr>
              <w:rFonts w:ascii="Calibri" w:hAnsi="Calibri" w:eastAsia="" w:cs="" w:asciiTheme="minorHAnsi" w:cstheme="minorBidi" w:eastAsiaTheme="minorEastAsia" w:hAnsiTheme="minorHAnsi"/>
              <w:b w:val="false"/>
              <w:b w:val="false"/>
              <w:color w:val="auto"/>
            </w:rPr>
          </w:pPr>
          <w:hyperlink w:anchor="_Toc222740193">
            <w:r>
              <w:rPr>
                <w:webHidden/>
                <w:rStyle w:val="Sautdindex"/>
                <w:rFonts w:eastAsia="Times New Roman" w:cs="Arial"/>
                <w:i/>
              </w:rPr>
              <w:t>Dossier suivi par Alexandre Martin</w:t>
            </w:r>
            <w:r>
              <w:rPr>
                <w:webHidden/>
              </w:rPr>
              <w:fldChar w:fldCharType="begin"/>
            </w:r>
            <w:r>
              <w:rPr>
                <w:webHidden/>
              </w:rPr>
              <w:instrText xml:space="preserve">PAGEREF _Toc222740193 \h</w:instrText>
            </w:r>
            <w:r>
              <w:rPr>
                <w:webHidden/>
              </w:rPr>
              <w:fldChar w:fldCharType="separate"/>
            </w:r>
            <w:r>
              <w:rPr>
                <w:rStyle w:val="Sautdindex"/>
                <w:vanish w:val="false"/>
              </w:rPr>
              <w:tab/>
              <w:t>1</w:t>
            </w:r>
            <w:r>
              <w:rPr>
                <w:webHidden/>
              </w:rPr>
              <w:fldChar w:fldCharType="end"/>
            </w:r>
          </w:hyperlink>
        </w:p>
        <w:p>
          <w:pPr>
            <w:pStyle w:val="Tabledesmatiresniveau1"/>
            <w:tabs>
              <w:tab w:val="clear" w:pos="708"/>
              <w:tab w:val="right" w:pos="9111" w:leader="dot"/>
            </w:tabs>
            <w:rPr>
              <w:rFonts w:ascii="Calibri" w:hAnsi="Calibri" w:eastAsia="" w:cs="" w:asciiTheme="minorHAnsi" w:cstheme="minorBidi" w:eastAsiaTheme="minorEastAsia" w:hAnsiTheme="minorHAnsi"/>
              <w:b w:val="false"/>
              <w:b w:val="false"/>
              <w:color w:val="auto"/>
            </w:rPr>
          </w:pPr>
          <w:hyperlink w:anchor="_Toc222740194">
            <w:r>
              <w:rPr>
                <w:webHidden/>
                <w:rStyle w:val="Sautdindex"/>
                <w:rFonts w:eastAsia="Times New Roman" w:cs="Arial"/>
                <w:i/>
              </w:rPr>
              <w:t>alexandre.martin@lpo.fr</w:t>
            </w:r>
            <w:r>
              <w:rPr>
                <w:webHidden/>
              </w:rPr>
              <w:fldChar w:fldCharType="begin"/>
            </w:r>
            <w:r>
              <w:rPr>
                <w:webHidden/>
              </w:rPr>
              <w:instrText xml:space="preserve">PAGEREF _Toc222740194 \h</w:instrText>
            </w:r>
            <w:r>
              <w:rPr>
                <w:webHidden/>
              </w:rPr>
              <w:fldChar w:fldCharType="separate"/>
            </w:r>
            <w:r>
              <w:rPr>
                <w:rStyle w:val="Sautdindex"/>
                <w:vanish w:val="false"/>
              </w:rPr>
              <w:tab/>
              <w:t>1</w:t>
            </w:r>
            <w:r>
              <w:rPr>
                <w:webHidden/>
              </w:rPr>
              <w:fldChar w:fldCharType="end"/>
            </w:r>
          </w:hyperlink>
        </w:p>
        <w:p>
          <w:pPr>
            <w:pStyle w:val="Tabledesmatiresniveau1"/>
            <w:tabs>
              <w:tab w:val="clear" w:pos="708"/>
              <w:tab w:val="right" w:pos="9111" w:leader="dot"/>
            </w:tabs>
            <w:rPr>
              <w:rFonts w:ascii="Calibri" w:hAnsi="Calibri" w:eastAsia="" w:cs="" w:asciiTheme="minorHAnsi" w:cstheme="minorBidi" w:eastAsiaTheme="minorEastAsia" w:hAnsiTheme="minorHAnsi"/>
              <w:b w:val="false"/>
              <w:b w:val="false"/>
              <w:color w:val="auto"/>
            </w:rPr>
          </w:pPr>
          <w:hyperlink w:anchor="_Toc222740195">
            <w:r>
              <w:rPr>
                <w:webHidden/>
                <w:rStyle w:val="Sautdindex"/>
              </w:rPr>
              <w:t>Table des matières</w:t>
            </w:r>
            <w:r>
              <w:rPr>
                <w:webHidden/>
              </w:rPr>
              <w:fldChar w:fldCharType="begin"/>
            </w:r>
            <w:r>
              <w:rPr>
                <w:webHidden/>
              </w:rPr>
              <w:instrText xml:space="preserve">PAGEREF _Toc222740195 \h</w:instrText>
            </w:r>
            <w:r>
              <w:rPr>
                <w:webHidden/>
              </w:rPr>
              <w:fldChar w:fldCharType="separate"/>
            </w:r>
            <w:r>
              <w:rPr>
                <w:rStyle w:val="Sautdindex"/>
                <w:vanish w:val="false"/>
              </w:rPr>
              <w:tab/>
              <w:t>6</w:t>
            </w:r>
            <w:r>
              <w:rPr>
                <w:webHidden/>
              </w:rPr>
              <w:fldChar w:fldCharType="end"/>
            </w:r>
          </w:hyperlink>
        </w:p>
        <w:p>
          <w:pPr>
            <w:pStyle w:val="Tabledesmatiresniveau1"/>
            <w:tabs>
              <w:tab w:val="clear" w:pos="708"/>
              <w:tab w:val="right" w:pos="9111" w:leader="dot"/>
            </w:tabs>
            <w:rPr>
              <w:rFonts w:ascii="Calibri" w:hAnsi="Calibri" w:eastAsia="" w:cs="" w:asciiTheme="minorHAnsi" w:cstheme="minorBidi" w:eastAsiaTheme="minorEastAsia" w:hAnsiTheme="minorHAnsi"/>
              <w:b w:val="false"/>
              <w:b w:val="false"/>
              <w:color w:val="auto"/>
            </w:rPr>
          </w:pPr>
          <w:hyperlink w:anchor="_Toc222740196">
            <w:r>
              <w:rPr>
                <w:webHidden/>
                <w:rStyle w:val="Sautdindex"/>
              </w:rPr>
              <w:t>Contexte</w:t>
            </w:r>
            <w:r>
              <w:rPr>
                <w:webHidden/>
              </w:rPr>
              <w:fldChar w:fldCharType="begin"/>
            </w:r>
            <w:r>
              <w:rPr>
                <w:webHidden/>
              </w:rPr>
              <w:instrText xml:space="preserve">PAGEREF _Toc222740196 \h</w:instrText>
            </w:r>
            <w:r>
              <w:rPr>
                <w:webHidden/>
              </w:rPr>
              <w:fldChar w:fldCharType="separate"/>
            </w:r>
            <w:r>
              <w:rPr>
                <w:rStyle w:val="Sautdindex"/>
                <w:vanish w:val="false"/>
              </w:rPr>
              <w:tab/>
              <w:t>7</w:t>
            </w:r>
            <w:r>
              <w:rPr>
                <w:webHidden/>
              </w:rPr>
              <w:fldChar w:fldCharType="end"/>
            </w:r>
          </w:hyperlink>
        </w:p>
        <w:p>
          <w:pPr>
            <w:pStyle w:val="Tabledesmatiresniveau2"/>
            <w:tabs>
              <w:tab w:val="clear" w:pos="708"/>
              <w:tab w:val="right" w:pos="9111" w:leader="dot"/>
            </w:tabs>
            <w:rPr>
              <w:rFonts w:ascii="Calibri" w:hAnsi="Calibri" w:eastAsia="" w:cs="" w:asciiTheme="minorHAnsi" w:cstheme="minorBidi" w:eastAsiaTheme="minorEastAsia" w:hAnsiTheme="minorHAnsi"/>
              <w:b w:val="false"/>
              <w:b w:val="false"/>
              <w:color w:val="auto"/>
            </w:rPr>
          </w:pPr>
          <w:hyperlink w:anchor="_Toc222740197">
            <w:r>
              <w:rPr>
                <w:webHidden/>
                <w:rStyle w:val="Sautdindex"/>
              </w:rPr>
              <w:t>Rappels pour l’obtention des dérogations</w:t>
            </w:r>
            <w:r>
              <w:rPr>
                <w:webHidden/>
              </w:rPr>
              <w:fldChar w:fldCharType="begin"/>
            </w:r>
            <w:r>
              <w:rPr>
                <w:webHidden/>
              </w:rPr>
              <w:instrText xml:space="preserve">PAGEREF _Toc222740197 \h</w:instrText>
            </w:r>
            <w:r>
              <w:rPr>
                <w:webHidden/>
              </w:rPr>
              <w:fldChar w:fldCharType="separate"/>
            </w:r>
            <w:r>
              <w:rPr>
                <w:rStyle w:val="Sautdindex"/>
                <w:vanish w:val="false"/>
              </w:rPr>
              <w:tab/>
              <w:t>8</w:t>
            </w:r>
            <w:r>
              <w:rPr>
                <w:webHidden/>
              </w:rPr>
              <w:fldChar w:fldCharType="end"/>
            </w:r>
          </w:hyperlink>
        </w:p>
        <w:p>
          <w:pPr>
            <w:pStyle w:val="Tabledesmatiresniveau1"/>
            <w:tabs>
              <w:tab w:val="clear" w:pos="708"/>
              <w:tab w:val="right" w:pos="9111" w:leader="dot"/>
            </w:tabs>
            <w:rPr>
              <w:rFonts w:ascii="Calibri" w:hAnsi="Calibri" w:eastAsia="" w:cs="" w:asciiTheme="minorHAnsi" w:cstheme="minorBidi" w:eastAsiaTheme="minorEastAsia" w:hAnsiTheme="minorHAnsi"/>
              <w:b w:val="false"/>
              <w:b w:val="false"/>
              <w:color w:val="auto"/>
            </w:rPr>
          </w:pPr>
          <w:hyperlink w:anchor="_Toc222740198">
            <w:r>
              <w:rPr>
                <w:webHidden/>
                <w:rStyle w:val="Sautdindex"/>
              </w:rPr>
              <w:t>Structuration du réseau de collecte et de stockage des échantillons</w:t>
            </w:r>
            <w:r>
              <w:rPr>
                <w:webHidden/>
              </w:rPr>
              <w:fldChar w:fldCharType="begin"/>
            </w:r>
            <w:r>
              <w:rPr>
                <w:webHidden/>
              </w:rPr>
              <w:instrText xml:space="preserve">PAGEREF _Toc222740198 \h</w:instrText>
            </w:r>
            <w:r>
              <w:rPr>
                <w:webHidden/>
              </w:rPr>
              <w:fldChar w:fldCharType="separate"/>
            </w:r>
            <w:r>
              <w:rPr>
                <w:rStyle w:val="Sautdindex"/>
                <w:vanish w:val="false"/>
              </w:rPr>
              <w:tab/>
              <w:t>8</w:t>
            </w:r>
            <w:r>
              <w:rPr>
                <w:webHidden/>
              </w:rPr>
              <w:fldChar w:fldCharType="end"/>
            </w:r>
          </w:hyperlink>
        </w:p>
        <w:p>
          <w:pPr>
            <w:pStyle w:val="Tabledesmatiresniveau1"/>
            <w:tabs>
              <w:tab w:val="clear" w:pos="708"/>
              <w:tab w:val="right" w:pos="9111" w:leader="dot"/>
            </w:tabs>
            <w:rPr>
              <w:rFonts w:ascii="Calibri" w:hAnsi="Calibri" w:eastAsia="" w:cs="" w:asciiTheme="minorHAnsi" w:cstheme="minorBidi" w:eastAsiaTheme="minorEastAsia" w:hAnsiTheme="minorHAnsi"/>
              <w:b w:val="false"/>
              <w:b w:val="false"/>
              <w:color w:val="auto"/>
            </w:rPr>
          </w:pPr>
          <w:hyperlink w:anchor="_Toc222740199">
            <w:r>
              <w:rPr>
                <w:webHidden/>
                <w:rStyle w:val="Sautdindex"/>
              </w:rPr>
              <w:t>Contenu d’un kit de prélèvements</w:t>
            </w:r>
            <w:r>
              <w:rPr>
                <w:webHidden/>
              </w:rPr>
              <w:fldChar w:fldCharType="begin"/>
            </w:r>
            <w:r>
              <w:rPr>
                <w:webHidden/>
              </w:rPr>
              <w:instrText xml:space="preserve">PAGEREF _Toc222740199 \h</w:instrText>
            </w:r>
            <w:r>
              <w:rPr>
                <w:webHidden/>
              </w:rPr>
              <w:fldChar w:fldCharType="separate"/>
            </w:r>
            <w:r>
              <w:rPr>
                <w:rStyle w:val="Sautdindex"/>
                <w:vanish w:val="false"/>
              </w:rPr>
              <w:tab/>
              <w:t>9</w:t>
            </w:r>
            <w:r>
              <w:rPr>
                <w:webHidden/>
              </w:rPr>
              <w:fldChar w:fldCharType="end"/>
            </w:r>
          </w:hyperlink>
        </w:p>
        <w:p>
          <w:pPr>
            <w:pStyle w:val="Tabledesmatiresniveau1"/>
            <w:tabs>
              <w:tab w:val="clear" w:pos="708"/>
              <w:tab w:val="right" w:pos="9111" w:leader="dot"/>
            </w:tabs>
            <w:rPr>
              <w:rFonts w:ascii="Calibri" w:hAnsi="Calibri" w:eastAsia="" w:cs="" w:asciiTheme="minorHAnsi" w:cstheme="minorBidi" w:eastAsiaTheme="minorEastAsia" w:hAnsiTheme="minorHAnsi"/>
              <w:b w:val="false"/>
              <w:b w:val="false"/>
              <w:color w:val="auto"/>
            </w:rPr>
          </w:pPr>
          <w:hyperlink w:anchor="_Toc222740200">
            <w:r>
              <w:rPr>
                <w:webHidden/>
                <w:rStyle w:val="Sautdindex"/>
              </w:rPr>
              <w:t>Précautions d’hygiène &amp; de sécurité</w:t>
            </w:r>
            <w:r>
              <w:rPr>
                <w:webHidden/>
              </w:rPr>
              <w:fldChar w:fldCharType="begin"/>
            </w:r>
            <w:r>
              <w:rPr>
                <w:webHidden/>
              </w:rPr>
              <w:instrText xml:space="preserve">PAGEREF _Toc222740200 \h</w:instrText>
            </w:r>
            <w:r>
              <w:rPr>
                <w:webHidden/>
              </w:rPr>
              <w:fldChar w:fldCharType="separate"/>
            </w:r>
            <w:r>
              <w:rPr>
                <w:rStyle w:val="Sautdindex"/>
                <w:vanish w:val="false"/>
              </w:rPr>
              <w:tab/>
              <w:t>10</w:t>
            </w:r>
            <w:r>
              <w:rPr>
                <w:webHidden/>
              </w:rPr>
              <w:fldChar w:fldCharType="end"/>
            </w:r>
          </w:hyperlink>
        </w:p>
        <w:p>
          <w:pPr>
            <w:pStyle w:val="Tabledesmatiresniveau2"/>
            <w:tabs>
              <w:tab w:val="clear" w:pos="708"/>
              <w:tab w:val="right" w:pos="9111" w:leader="dot"/>
            </w:tabs>
            <w:rPr>
              <w:rFonts w:ascii="Calibri" w:hAnsi="Calibri" w:eastAsia="" w:cs="" w:asciiTheme="minorHAnsi" w:cstheme="minorBidi" w:eastAsiaTheme="minorEastAsia" w:hAnsiTheme="minorHAnsi"/>
              <w:b w:val="false"/>
              <w:b w:val="false"/>
              <w:color w:val="auto"/>
            </w:rPr>
          </w:pPr>
          <w:hyperlink w:anchor="_Toc222740201">
            <w:r>
              <w:rPr>
                <w:webHidden/>
                <w:rStyle w:val="Sautdindex"/>
              </w:rPr>
              <w:t>Collecte</w:t>
            </w:r>
            <w:r>
              <w:rPr>
                <w:webHidden/>
              </w:rPr>
              <w:fldChar w:fldCharType="begin"/>
            </w:r>
            <w:r>
              <w:rPr>
                <w:webHidden/>
              </w:rPr>
              <w:instrText xml:space="preserve">PAGEREF _Toc222740201 \h</w:instrText>
            </w:r>
            <w:r>
              <w:rPr>
                <w:webHidden/>
              </w:rPr>
              <w:fldChar w:fldCharType="separate"/>
            </w:r>
            <w:r>
              <w:rPr>
                <w:rStyle w:val="Sautdindex"/>
                <w:vanish w:val="false"/>
              </w:rPr>
              <w:tab/>
              <w:t>11</w:t>
            </w:r>
            <w:r>
              <w:rPr>
                <w:webHidden/>
              </w:rPr>
              <w:fldChar w:fldCharType="end"/>
            </w:r>
          </w:hyperlink>
        </w:p>
        <w:p>
          <w:pPr>
            <w:pStyle w:val="Tabledesmatiresniveau2"/>
            <w:tabs>
              <w:tab w:val="clear" w:pos="708"/>
              <w:tab w:val="right" w:pos="9111" w:leader="dot"/>
            </w:tabs>
            <w:rPr>
              <w:rFonts w:ascii="Calibri" w:hAnsi="Calibri" w:eastAsia="" w:cs="" w:asciiTheme="minorHAnsi" w:cstheme="minorBidi" w:eastAsiaTheme="minorEastAsia" w:hAnsiTheme="minorHAnsi"/>
              <w:b w:val="false"/>
              <w:b w:val="false"/>
              <w:color w:val="auto"/>
            </w:rPr>
          </w:pPr>
          <w:hyperlink w:anchor="_Toc222740202">
            <w:r>
              <w:rPr>
                <w:webHidden/>
                <w:rStyle w:val="Sautdindex"/>
              </w:rPr>
              <w:t>Stockage</w:t>
            </w:r>
            <w:r>
              <w:rPr>
                <w:webHidden/>
              </w:rPr>
              <w:fldChar w:fldCharType="begin"/>
            </w:r>
            <w:r>
              <w:rPr>
                <w:webHidden/>
              </w:rPr>
              <w:instrText xml:space="preserve">PAGEREF _Toc222740202 \h</w:instrText>
            </w:r>
            <w:r>
              <w:rPr>
                <w:webHidden/>
              </w:rPr>
              <w:fldChar w:fldCharType="separate"/>
            </w:r>
            <w:r>
              <w:rPr>
                <w:rStyle w:val="Sautdindex"/>
                <w:vanish w:val="false"/>
              </w:rPr>
              <w:tab/>
              <w:t>11</w:t>
            </w:r>
            <w:r>
              <w:rPr>
                <w:webHidden/>
              </w:rPr>
              <w:fldChar w:fldCharType="end"/>
            </w:r>
          </w:hyperlink>
        </w:p>
        <w:p>
          <w:pPr>
            <w:pStyle w:val="Tabledesmatiresniveau2"/>
            <w:tabs>
              <w:tab w:val="clear" w:pos="708"/>
              <w:tab w:val="right" w:pos="9111" w:leader="dot"/>
            </w:tabs>
            <w:rPr>
              <w:rFonts w:ascii="Calibri" w:hAnsi="Calibri" w:eastAsia="" w:cs="" w:asciiTheme="minorHAnsi" w:cstheme="minorBidi" w:eastAsiaTheme="minorEastAsia" w:hAnsiTheme="minorHAnsi"/>
              <w:b w:val="false"/>
              <w:b w:val="false"/>
              <w:color w:val="auto"/>
            </w:rPr>
          </w:pPr>
          <w:hyperlink w:anchor="_Toc222740203">
            <w:r>
              <w:rPr>
                <w:webHidden/>
                <w:rStyle w:val="Sautdindex"/>
              </w:rPr>
              <w:t>Devenir des prélèvements</w:t>
            </w:r>
            <w:r>
              <w:rPr>
                <w:webHidden/>
              </w:rPr>
              <w:fldChar w:fldCharType="begin"/>
            </w:r>
            <w:r>
              <w:rPr>
                <w:webHidden/>
              </w:rPr>
              <w:instrText xml:space="preserve">PAGEREF _Toc222740203 \h</w:instrText>
            </w:r>
            <w:r>
              <w:rPr>
                <w:webHidden/>
              </w:rPr>
              <w:fldChar w:fldCharType="separate"/>
            </w:r>
            <w:r>
              <w:rPr>
                <w:rStyle w:val="Sautdindex"/>
                <w:vanish w:val="false"/>
              </w:rPr>
              <w:tab/>
              <w:t>11</w:t>
            </w:r>
            <w:r>
              <w:rPr>
                <w:webHidden/>
              </w:rPr>
              <w:fldChar w:fldCharType="end"/>
            </w:r>
          </w:hyperlink>
          <w:r>
            <w:rPr>
              <w:rStyle w:val="Sautdindex"/>
              <w:vanish w:val="false"/>
            </w:rPr>
            <w:fldChar w:fldCharType="end"/>
          </w:r>
        </w:p>
      </w:sdtContent>
    </w:sdt>
    <w:p>
      <w:pPr>
        <w:pStyle w:val="Normal"/>
        <w:widowControl/>
        <w:bidi w:val="0"/>
        <w:spacing w:before="0" w:after="0"/>
        <w:jc w:val="left"/>
        <w:rPr>
          <w:sz w:val="24"/>
          <w:szCs w:val="24"/>
          <w:lang w:eastAsia="en-US"/>
        </w:rPr>
      </w:pPr>
      <w:r>
        <w:rPr>
          <w:sz w:val="24"/>
          <w:szCs w:val="24"/>
          <w:lang w:eastAsia="en-US"/>
        </w:rPr>
      </w:r>
    </w:p>
    <w:p>
      <w:pPr>
        <w:pStyle w:val="Normal"/>
        <w:spacing w:before="0" w:after="297"/>
        <w:ind w:left="308" w:hanging="0"/>
        <w:rPr/>
      </w:pPr>
      <w:r>
        <w:rPr>
          <w:rFonts w:eastAsia="Calibri" w:cs="Calibri" w:ascii="Calibri" w:hAnsi="Calibri"/>
          <w:color w:val="E24301"/>
          <w:sz w:val="32"/>
        </w:rPr>
        <w:t xml:space="preserve"> </w:t>
      </w:r>
    </w:p>
    <w:p>
      <w:pPr>
        <w:pStyle w:val="Normal"/>
        <w:spacing w:before="0" w:after="26"/>
        <w:ind w:left="308" w:hanging="0"/>
        <w:rPr/>
      </w:pPr>
      <w:r>
        <w:rPr/>
        <w:t xml:space="preserve"> </w:t>
      </w:r>
      <w:r>
        <w:rPr>
          <w:rFonts w:eastAsia="Calibri" w:cs="Calibri" w:ascii="Calibri" w:hAnsi="Calibri"/>
          <w:color w:val="E24301"/>
          <w:sz w:val="32"/>
        </w:rPr>
        <w:t xml:space="preserve"> </w:t>
      </w:r>
    </w:p>
    <w:p>
      <w:pPr>
        <w:pStyle w:val="Normal"/>
        <w:spacing w:before="0" w:after="154"/>
        <w:ind w:left="360" w:hanging="0"/>
        <w:rPr/>
      </w:pPr>
      <w:r>
        <w:rPr>
          <w:rFonts w:eastAsia="Calibri" w:cs="Calibri" w:ascii="Calibri" w:hAnsi="Calibri"/>
          <w:sz w:val="34"/>
        </w:rPr>
        <w:t xml:space="preserve"> </w:t>
      </w:r>
    </w:p>
    <w:p>
      <w:pPr>
        <w:pStyle w:val="Normal"/>
        <w:spacing w:before="0" w:after="152"/>
        <w:ind w:left="360" w:hanging="0"/>
        <w:rPr/>
      </w:pPr>
      <w:r>
        <w:rPr>
          <w:rFonts w:eastAsia="Calibri" w:cs="Calibri" w:ascii="Calibri" w:hAnsi="Calibri"/>
          <w:sz w:val="34"/>
        </w:rPr>
        <w:t xml:space="preserve"> </w:t>
      </w:r>
    </w:p>
    <w:p>
      <w:pPr>
        <w:pStyle w:val="Normal"/>
        <w:spacing w:before="0" w:after="51"/>
        <w:ind w:left="360" w:hanging="0"/>
        <w:rPr/>
      </w:pPr>
      <w:r>
        <w:rPr>
          <w:rFonts w:eastAsia="Calibri" w:cs="Calibri" w:ascii="Calibri" w:hAnsi="Calibri"/>
          <w:sz w:val="34"/>
        </w:rPr>
        <w:t xml:space="preserve"> </w:t>
      </w:r>
      <w:r>
        <w:rPr>
          <w:sz w:val="34"/>
        </w:rPr>
        <w:t xml:space="preserve"> </w:t>
      </w:r>
    </w:p>
    <w:p>
      <w:pPr>
        <w:pStyle w:val="Titre1"/>
        <w:spacing w:before="280" w:after="280"/>
        <w:ind w:left="20" w:hanging="0"/>
        <w:rPr/>
      </w:pPr>
      <w:bookmarkStart w:id="5" w:name="_Toc222740196"/>
      <w:r>
        <w:rPr/>
        <w:t>Contexte</w:t>
      </w:r>
      <w:bookmarkEnd w:id="5"/>
      <w:r>
        <w:rPr/>
        <w:t xml:space="preserve"> </w:t>
      </w:r>
    </w:p>
    <w:p>
      <w:pPr>
        <w:pStyle w:val="Normal"/>
        <w:spacing w:before="0" w:after="170"/>
        <w:ind w:left="308" w:hanging="0"/>
        <w:rPr/>
      </w:pPr>
      <w:r>
        <w:rPr/>
        <w:t xml:space="preserve"> </w:t>
      </w:r>
    </w:p>
    <w:p>
      <w:pPr>
        <w:pStyle w:val="Normal"/>
        <w:spacing w:lineRule="auto" w:line="283" w:before="0" w:after="160"/>
        <w:ind w:left="10" w:firstLine="283"/>
        <w:rPr/>
      </w:pPr>
      <w:r>
        <w:rPr>
          <w:rFonts w:eastAsia="Calibri" w:cs="Calibri" w:ascii="Calibri" w:hAnsi="Calibri"/>
        </w:rPr>
        <w:t xml:space="preserve">Dans le cadre du Plan National d’Actions en faveur de la Loutre d’Europe, un groupe de travail sur la </w:t>
      </w:r>
      <w:r>
        <w:rPr/>
        <w:t xml:space="preserve">valorisation des </w:t>
      </w:r>
      <w:r>
        <w:rPr>
          <w:rFonts w:eastAsia="Calibri" w:cs="Calibri" w:ascii="Calibri" w:hAnsi="Calibri"/>
        </w:rPr>
        <w:t xml:space="preserve">spécimens de loutres trouvées mortes a proposé un protocole pour le recueil d’informations et la réalisation d’autopsies et de prélèvements. L’objectif est de structurer une gestion adaptée des cadavres </w:t>
      </w:r>
      <w:r>
        <w:rPr/>
        <w:t xml:space="preserve">et des échantillons, en évitant des stockages de longue durée sans utilisation ultérieure, tout en répondant à </w:t>
      </w:r>
      <w:r>
        <w:rPr>
          <w:rFonts w:eastAsia="Calibri" w:cs="Calibri" w:ascii="Calibri" w:hAnsi="Calibri"/>
        </w:rPr>
        <w:t>des objectifs simples de suivi et de conservation de l’espèce.</w:t>
      </w:r>
      <w:r>
        <w:rPr/>
        <w:t xml:space="preserve"> </w:t>
      </w:r>
    </w:p>
    <w:p>
      <w:pPr>
        <w:pStyle w:val="Normal"/>
        <w:spacing w:lineRule="auto" w:line="283" w:before="0" w:after="160"/>
        <w:ind w:left="10" w:firstLine="283"/>
        <w:rPr/>
      </w:pPr>
      <w:r>
        <w:rPr>
          <w:rFonts w:eastAsia="Calibri" w:cs="Calibri" w:ascii="Calibri" w:hAnsi="Calibri"/>
        </w:rPr>
        <w:t xml:space="preserve">Le protocole se décline en trois niveaux. Ce manuel d’instructions concerne le niveau 1 du protocole, qui </w:t>
      </w:r>
      <w:r>
        <w:rPr/>
        <w:t>prévoit de constituer une banque de prélèvements à partir desquels pourront être réalisées des analyses génétiques</w:t>
      </w:r>
      <w:r>
        <w:rPr>
          <w:rFonts w:eastAsia="Calibri" w:cs="Calibri" w:ascii="Calibri" w:hAnsi="Calibri"/>
        </w:rPr>
        <w:t>. L’objectif est de mettre cette ban</w:t>
      </w:r>
      <w:r>
        <w:rPr/>
        <w:t xml:space="preserve">que de prélèvements à disposition de la communauté scientifique pour suivre les échanges populationnels </w:t>
      </w:r>
      <w:r>
        <w:rPr>
          <w:rFonts w:eastAsia="Calibri" w:cs="Calibri" w:ascii="Calibri" w:hAnsi="Calibri"/>
        </w:rPr>
        <w:t xml:space="preserve">ou pour contribuer plus largement, à l’échelle </w:t>
      </w:r>
      <w:r>
        <w:rPr/>
        <w:t xml:space="preserve">européenne, à des </w:t>
      </w:r>
      <w:r>
        <w:rPr>
          <w:rFonts w:eastAsia="Calibri" w:cs="Calibri" w:ascii="Calibri" w:hAnsi="Calibri"/>
        </w:rPr>
        <w:t>travaux sur la phylogéographie de la Loutre d’Europe.</w:t>
      </w:r>
      <w:r>
        <w:rPr/>
        <w:t xml:space="preserve"> </w:t>
      </w:r>
    </w:p>
    <w:p>
      <w:pPr>
        <w:pStyle w:val="Normal"/>
        <w:spacing w:before="0" w:after="184"/>
        <w:ind w:left="25" w:firstLine="283"/>
        <w:rPr/>
      </w:pPr>
      <w:r>
        <w:rPr/>
        <w:t xml:space="preserve">Pour ce faire, des kits pour la réalisation de prélèvements sur les dépouilles découvertes ont été constitués, à destination des organismes et personnes disposant des autorisations règlementaires le permettant. </w:t>
      </w:r>
    </w:p>
    <w:p>
      <w:pPr>
        <w:pStyle w:val="Normal"/>
        <w:spacing w:before="0" w:after="184"/>
        <w:ind w:left="25" w:firstLine="283"/>
        <w:rPr/>
      </w:pPr>
      <w:r>
        <w:rPr/>
        <w:t xml:space="preserve">La SFEPM assure la coordination du réseau de collecte des prélèvements, qui seront stockés à terme au </w:t>
      </w:r>
      <w:r>
        <w:rPr>
          <w:rFonts w:eastAsia="Calibri" w:cs="Calibri" w:ascii="Calibri" w:hAnsi="Calibri"/>
        </w:rPr>
        <w:t>Muséum National d’Histoire Naturelle, et mis à disposition des chercheurs qui en feraient la demande.</w:t>
      </w:r>
      <w:r>
        <w:rPr/>
        <w:t xml:space="preserve"> </w:t>
      </w:r>
    </w:p>
    <w:p>
      <w:pPr>
        <w:pStyle w:val="Normal"/>
        <w:spacing w:before="0" w:after="170"/>
        <w:ind w:left="308" w:hanging="0"/>
        <w:rPr/>
      </w:pPr>
      <w:r>
        <w:rPr/>
        <w:t xml:space="preserve"> </w:t>
      </w:r>
    </w:p>
    <w:p>
      <w:pPr>
        <w:pStyle w:val="Normal"/>
        <w:spacing w:lineRule="auto" w:line="283" w:before="0" w:after="160"/>
        <w:ind w:left="26" w:firstLine="295"/>
        <w:rPr/>
      </w:pPr>
      <w:r>
        <w:drawing>
          <wp:anchor behindDoc="0" distT="0" distB="0" distL="114300" distR="114300" simplePos="0" locked="0" layoutInCell="0" allowOverlap="1" relativeHeight="81">
            <wp:simplePos x="0" y="0"/>
            <wp:positionH relativeFrom="column">
              <wp:posOffset>16510</wp:posOffset>
            </wp:positionH>
            <wp:positionV relativeFrom="paragraph">
              <wp:posOffset>68580</wp:posOffset>
            </wp:positionV>
            <wp:extent cx="396240" cy="347345"/>
            <wp:effectExtent l="0" t="0" r="0" b="0"/>
            <wp:wrapSquare wrapText="bothSides"/>
            <wp:docPr id="8" name="Picture 2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63" descr=""/>
                    <pic:cNvPicPr>
                      <a:picLocks noChangeAspect="1" noChangeArrowheads="1"/>
                    </pic:cNvPicPr>
                  </pic:nvPicPr>
                  <pic:blipFill>
                    <a:blip r:embed="rId11"/>
                    <a:stretch>
                      <a:fillRect/>
                    </a:stretch>
                  </pic:blipFill>
                  <pic:spPr bwMode="auto">
                    <a:xfrm>
                      <a:off x="0" y="0"/>
                      <a:ext cx="396240" cy="347345"/>
                    </a:xfrm>
                    <a:prstGeom prst="rect">
                      <a:avLst/>
                    </a:prstGeom>
                  </pic:spPr>
                </pic:pic>
              </a:graphicData>
            </a:graphic>
          </wp:anchor>
        </w:drawing>
      </w:r>
      <w:r>
        <w:rPr>
          <w:u w:val="single" w:color="000000"/>
        </w:rPr>
        <w:t>Attention</w:t>
      </w:r>
      <w:r>
        <w:rPr/>
        <w:t xml:space="preserve"> : nous rappelons que pour procéder aux prélèvements de tissus biologiques sur les cadavres de loutres ou pour transporter ces derniers</w:t>
      </w:r>
      <w:r>
        <w:rPr>
          <w:rFonts w:eastAsia="Calibri" w:cs="Calibri" w:ascii="Calibri" w:hAnsi="Calibri"/>
        </w:rPr>
        <w:t xml:space="preserve">, il faut être en possession d’une dérogation </w:t>
      </w:r>
      <w:r>
        <w:rPr/>
        <w:t xml:space="preserve">aux interdictions relatives aux espèces protégées ! </w:t>
      </w:r>
    </w:p>
    <w:p>
      <w:pPr>
        <w:pStyle w:val="Normal"/>
        <w:spacing w:before="0" w:after="208"/>
        <w:ind w:left="308" w:hanging="0"/>
        <w:rPr/>
      </w:pPr>
      <w:r>
        <w:rPr/>
        <w:t xml:space="preserve"> </w:t>
      </w:r>
    </w:p>
    <w:p>
      <w:pPr>
        <w:pStyle w:val="Titre2"/>
        <w:spacing w:before="0" w:after="93"/>
        <w:ind w:left="308" w:hanging="0"/>
        <w:rPr/>
      </w:pPr>
      <w:bookmarkStart w:id="6" w:name="_Toc222740197"/>
      <w:r>
        <w:rPr/>
        <w:t>Rappels pour l’obtention des dérogations</w:t>
      </w:r>
      <w:bookmarkEnd w:id="6"/>
      <w:r>
        <w:rPr/>
        <w:t xml:space="preserve"> </w:t>
      </w:r>
    </w:p>
    <w:p>
      <w:pPr>
        <w:pStyle w:val="Normal"/>
        <w:ind w:left="308" w:hanging="0"/>
        <w:rPr/>
      </w:pPr>
      <w:r>
        <w:rPr>
          <w:color w:val="5B9BD5"/>
        </w:rPr>
        <w:t xml:space="preserve"> </w:t>
      </w:r>
    </w:p>
    <w:p>
      <w:pPr>
        <w:pStyle w:val="Normal"/>
        <w:ind w:left="25" w:firstLine="283"/>
        <w:rPr/>
      </w:pPr>
      <w:r>
        <w:rPr>
          <w:rFonts w:eastAsia="Calibri" w:cs="Calibri" w:ascii="Calibri" w:hAnsi="Calibri"/>
        </w:rPr>
        <w:t>Afin d’obtenir les instructions et documents nécessaires à l’obtention des dérogations aux interdic</w:t>
      </w:r>
      <w:r>
        <w:rPr/>
        <w:t xml:space="preserve">tions relatives aux espèces protégées, les opérateurs doivent contacter la DREAL de leur région. Ils doivent au préalable identifier les mandataires de la dérogation. </w:t>
      </w:r>
    </w:p>
    <w:p>
      <w:pPr>
        <w:pStyle w:val="Normal"/>
        <w:spacing w:before="0" w:after="28"/>
        <w:ind w:left="308" w:hanging="0"/>
        <w:rPr/>
      </w:pPr>
      <w:r>
        <w:rPr/>
        <w:t xml:space="preserve"> </w:t>
      </w:r>
    </w:p>
    <w:p>
      <w:pPr>
        <w:pStyle w:val="Normal"/>
        <w:spacing w:lineRule="auto" w:line="283" w:before="0" w:after="4"/>
        <w:ind w:left="20" w:hanging="0"/>
        <w:rPr/>
      </w:pPr>
      <w:r>
        <w:rPr>
          <w:rFonts w:eastAsia="Calibri" w:cs="Calibri" w:ascii="Calibri" w:hAnsi="Calibri"/>
        </w:rPr>
        <w:t>Les autorisations concernent le prélèvement d’échantillons sur cadavres de loutres, le t</w:t>
      </w:r>
      <w:r>
        <w:rPr/>
        <w:t xml:space="preserve">ransport et le stockage des prélèvements. </w:t>
      </w:r>
    </w:p>
    <w:p>
      <w:pPr>
        <w:pStyle w:val="Normal"/>
        <w:spacing w:before="0" w:after="31"/>
        <w:ind w:left="25" w:hanging="0"/>
        <w:rPr/>
      </w:pPr>
      <w:r>
        <w:rPr/>
        <w:t xml:space="preserve"> </w:t>
      </w:r>
    </w:p>
    <w:p>
      <w:pPr>
        <w:pStyle w:val="Normal"/>
        <w:ind w:left="35" w:hanging="0"/>
        <w:rPr/>
      </w:pPr>
      <w:r>
        <w:rPr/>
        <w:t xml:space="preserve">Les demandes de dérogation sont à déposer après avoir rempli les formulaires suivants : </w:t>
      </w:r>
    </w:p>
    <w:p>
      <w:pPr>
        <w:pStyle w:val="Normal"/>
        <w:ind w:left="385" w:hanging="0"/>
        <w:rPr/>
      </w:pPr>
      <w:r>
        <w:rPr/>
        <w:t xml:space="preserve"> </w:t>
      </w:r>
    </w:p>
    <w:p>
      <w:pPr>
        <w:pStyle w:val="Normal"/>
        <w:numPr>
          <w:ilvl w:val="0"/>
          <w:numId w:val="3"/>
        </w:numPr>
        <w:spacing w:lineRule="auto" w:line="283" w:before="0" w:after="4"/>
        <w:ind w:left="745" w:hanging="360"/>
        <w:jc w:val="both"/>
        <w:rPr/>
      </w:pPr>
      <w:r>
        <w:rPr/>
        <w:t xml:space="preserve">Cerfa 13616*01 </w:t>
      </w:r>
      <w:r>
        <w:rPr>
          <w:rFonts w:eastAsia="Calibri" w:cs="Calibri" w:ascii="Calibri" w:hAnsi="Calibri"/>
        </w:rPr>
        <w:t xml:space="preserve">pour la capture ou l’enlèvement de spécimens d’espèces animales protégées  dans </w:t>
      </w:r>
      <w:r>
        <w:rPr/>
        <w:t xml:space="preserve">le milieu naturel : </w:t>
      </w:r>
      <w:hyperlink r:id="rId12">
        <w:r>
          <w:rPr>
            <w:color w:val="4472C4"/>
            <w:u w:val="single" w:color="4472C4"/>
          </w:rPr>
          <w:t>https://www.service</w:t>
        </w:r>
      </w:hyperlink>
      <w:hyperlink r:id="rId13">
        <w:r>
          <w:rPr>
            <w:color w:val="4472C4"/>
            <w:u w:val="single" w:color="4472C4"/>
          </w:rPr>
          <w:t>-</w:t>
        </w:r>
      </w:hyperlink>
      <w:hyperlink r:id="rId14">
        <w:r>
          <w:rPr>
            <w:color w:val="4472C4"/>
            <w:u w:val="single" w:color="4472C4"/>
          </w:rPr>
          <w:t>public.fr/particuliers/vosdroits/R2501</w:t>
        </w:r>
      </w:hyperlink>
      <w:hyperlink r:id="rId15">
        <w:r>
          <w:rPr/>
          <w:t xml:space="preserve"> </w:t>
        </w:r>
      </w:hyperlink>
    </w:p>
    <w:p>
      <w:pPr>
        <w:pStyle w:val="Normal"/>
        <w:spacing w:before="0" w:after="30"/>
        <w:ind w:left="793" w:hanging="0"/>
        <w:rPr/>
      </w:pPr>
      <w:r>
        <w:rPr>
          <w:color w:val="5B9BD5"/>
        </w:rPr>
        <w:t xml:space="preserve"> </w:t>
      </w:r>
    </w:p>
    <w:p>
      <w:pPr>
        <w:pStyle w:val="Normal"/>
        <w:numPr>
          <w:ilvl w:val="0"/>
          <w:numId w:val="3"/>
        </w:numPr>
        <w:spacing w:lineRule="auto" w:line="283" w:before="0" w:after="4"/>
        <w:ind w:left="745" w:hanging="360"/>
        <w:jc w:val="both"/>
        <w:rPr/>
      </w:pPr>
      <w:r>
        <w:rPr/>
        <w:t xml:space="preserve">Cerfa </w:t>
        <w:tab/>
        <w:t xml:space="preserve">11629*02 </w:t>
        <w:tab/>
      </w:r>
      <w:r>
        <w:rPr>
          <w:rFonts w:eastAsia="Calibri" w:cs="Calibri" w:ascii="Calibri" w:hAnsi="Calibri"/>
        </w:rPr>
        <w:t xml:space="preserve">pour </w:t>
        <w:tab/>
        <w:t xml:space="preserve">le </w:t>
        <w:tab/>
        <w:t xml:space="preserve">transport </w:t>
        <w:tab/>
        <w:t xml:space="preserve">de </w:t>
        <w:tab/>
        <w:t xml:space="preserve">spécimens </w:t>
        <w:tab/>
        <w:t xml:space="preserve">d’espèces </w:t>
        <w:tab/>
        <w:t xml:space="preserve">animales </w:t>
        <w:tab/>
        <w:t xml:space="preserve">protégées </w:t>
        <w:tab/>
        <w:t xml:space="preserve">: </w:t>
      </w:r>
      <w:hyperlink r:id="rId16">
        <w:r>
          <w:rPr>
            <w:color w:val="4472C4"/>
            <w:u w:val="single" w:color="4472C4"/>
          </w:rPr>
          <w:t>https://entreprendre.service</w:t>
        </w:r>
      </w:hyperlink>
      <w:hyperlink r:id="rId17">
        <w:r>
          <w:rPr>
            <w:color w:val="4472C4"/>
            <w:u w:val="single" w:color="4472C4"/>
          </w:rPr>
          <w:t>-</w:t>
        </w:r>
      </w:hyperlink>
      <w:hyperlink r:id="rId18">
        <w:r>
          <w:rPr>
            <w:color w:val="4472C4"/>
            <w:u w:val="single" w:color="4472C4"/>
          </w:rPr>
          <w:t>public.fr/vosdroits/R15890</w:t>
        </w:r>
      </w:hyperlink>
      <w:hyperlink r:id="rId19">
        <w:r>
          <w:rPr/>
          <w:t xml:space="preserve"> </w:t>
        </w:r>
      </w:hyperlink>
    </w:p>
    <w:p>
      <w:pPr>
        <w:pStyle w:val="Normal"/>
        <w:ind w:left="25" w:hanging="0"/>
        <w:rPr/>
      </w:pPr>
      <w:r>
        <w:rPr/>
        <w:t xml:space="preserve"> </w:t>
      </w:r>
    </w:p>
    <w:p>
      <w:pPr>
        <w:pStyle w:val="Titre1"/>
        <w:spacing w:before="280" w:after="280"/>
        <w:ind w:left="318" w:hanging="0"/>
        <w:rPr/>
      </w:pPr>
      <w:bookmarkStart w:id="7" w:name="_Toc222740198"/>
      <w:r>
        <w:rPr/>
        <w:t>Structuration du réseau de collecte et de stockage des échantillons</w:t>
      </w:r>
      <w:bookmarkEnd w:id="7"/>
      <w:r>
        <w:rPr/>
        <w:t xml:space="preserve"> </w:t>
      </w:r>
    </w:p>
    <w:p>
      <w:pPr>
        <w:pStyle w:val="Normal"/>
        <w:spacing w:before="0" w:after="210"/>
        <w:ind w:left="308" w:hanging="0"/>
        <w:rPr/>
      </w:pPr>
      <w:r>
        <w:rPr>
          <w:rFonts w:eastAsia="Calibri" w:cs="Calibri" w:ascii="Calibri" w:hAnsi="Calibri"/>
          <w:color w:val="9C542A"/>
          <w:sz w:val="14"/>
        </w:rPr>
        <w:t xml:space="preserve"> </w:t>
      </w:r>
    </w:p>
    <w:p>
      <w:pPr>
        <w:pStyle w:val="Normal"/>
        <w:spacing w:before="0" w:after="184"/>
        <w:ind w:left="25" w:firstLine="283"/>
        <w:jc w:val="both"/>
        <w:rPr/>
      </w:pPr>
      <w:r>
        <w:rPr/>
        <w:t xml:space="preserve">Dans chaque région, </w:t>
      </w:r>
      <w:r>
        <w:rPr>
          <w:rFonts w:eastAsia="Calibri" w:cs="Calibri" w:ascii="Calibri" w:hAnsi="Calibri"/>
        </w:rPr>
        <w:t>au moins une structure opératrice de la déclinaison du Plan National d’Actions</w:t>
      </w:r>
      <w:r>
        <w:rPr/>
        <w:t xml:space="preserve"> en </w:t>
      </w:r>
      <w:r>
        <w:rPr>
          <w:rFonts w:eastAsia="Calibri" w:cs="Calibri" w:ascii="Calibri" w:hAnsi="Calibri"/>
        </w:rPr>
        <w:t xml:space="preserve">faveur de la Loutre, ou impliquée dans des actions en faveur de l’espèce, est destinataire des kits de </w:t>
      </w:r>
      <w:r>
        <w:rPr/>
        <w:t xml:space="preserve">prélèvements. Elle organise le réseau de collecte, tient à jour la liste des lieux de stockage des prélèvements et la liste des membres du réseau de collecte, gère les autorisations de transport, de prélèvement et/ou de stockage de spécimens de Loutre au titre de  </w:t>
      </w:r>
      <w:r>
        <w:rPr>
          <w:rFonts w:eastAsia="Calibri" w:cs="Calibri" w:ascii="Calibri" w:hAnsi="Calibri"/>
        </w:rPr>
        <w:t>l’article L411</w:t>
      </w:r>
      <w:r>
        <w:rPr/>
        <w:t>-</w:t>
      </w:r>
      <w:r>
        <w:rPr>
          <w:rFonts w:eastAsia="Calibri" w:cs="Calibri" w:ascii="Calibri" w:hAnsi="Calibri"/>
        </w:rPr>
        <w:t xml:space="preserve">2 du code de l’environnement.  Ces listes et </w:t>
      </w:r>
      <w:r>
        <w:rPr/>
        <w:t xml:space="preserve">autorisations doivent être transmises à la SFEPM. </w:t>
      </w:r>
    </w:p>
    <w:p>
      <w:pPr>
        <w:pStyle w:val="Normal"/>
        <w:rPr/>
      </w:pPr>
      <w:r>
        <w:rPr/>
      </w:r>
      <w:r>
        <w:br w:type="page"/>
      </w:r>
    </w:p>
    <w:p>
      <w:pPr>
        <w:pStyle w:val="Normal"/>
        <w:spacing w:before="0" w:after="184"/>
        <w:ind w:left="25" w:firstLine="283"/>
        <w:jc w:val="both"/>
        <w:rPr/>
      </w:pPr>
      <w:r>
        <w:rPr/>
        <w:drawing>
          <wp:anchor behindDoc="0" distT="0" distB="0" distL="114300" distR="114300" simplePos="0" locked="0" layoutInCell="0" allowOverlap="1" relativeHeight="82">
            <wp:simplePos x="0" y="0"/>
            <wp:positionH relativeFrom="column">
              <wp:posOffset>312420</wp:posOffset>
            </wp:positionH>
            <wp:positionV relativeFrom="paragraph">
              <wp:posOffset>1905</wp:posOffset>
            </wp:positionV>
            <wp:extent cx="5358765" cy="5505450"/>
            <wp:effectExtent l="0" t="0" r="0" b="0"/>
            <wp:wrapTopAndBottom/>
            <wp:docPr id="9" name="Image 23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2377" descr=""/>
                    <pic:cNvPicPr>
                      <a:picLocks noChangeAspect="1" noChangeArrowheads="1"/>
                    </pic:cNvPicPr>
                  </pic:nvPicPr>
                  <pic:blipFill>
                    <a:blip r:embed="rId20"/>
                    <a:stretch>
                      <a:fillRect/>
                    </a:stretch>
                  </pic:blipFill>
                  <pic:spPr bwMode="auto">
                    <a:xfrm>
                      <a:off x="0" y="0"/>
                      <a:ext cx="5358765" cy="5505450"/>
                    </a:xfrm>
                    <a:prstGeom prst="rect">
                      <a:avLst/>
                    </a:prstGeom>
                  </pic:spPr>
                </pic:pic>
              </a:graphicData>
            </a:graphic>
          </wp:anchor>
        </w:drawing>
      </w:r>
    </w:p>
    <w:p>
      <w:pPr>
        <w:pStyle w:val="Titre1"/>
        <w:spacing w:before="280" w:after="280"/>
        <w:ind w:left="303" w:hanging="0"/>
        <w:rPr/>
      </w:pPr>
      <w:bookmarkStart w:id="8" w:name="_Toc222740199"/>
      <w:r>
        <w:rPr>
          <w:rFonts w:cs="Calibri" w:ascii="Calibri" w:hAnsi="Calibri"/>
        </w:rPr>
        <w:t>Contenu d’un kit de prélèvements</w:t>
      </w:r>
      <w:bookmarkEnd w:id="8"/>
      <w:r>
        <w:rPr/>
        <w:t xml:space="preserve"> </w:t>
      </w:r>
    </w:p>
    <w:p>
      <w:pPr>
        <w:pStyle w:val="Normal"/>
        <w:spacing w:before="0" w:after="170"/>
        <w:ind w:left="308" w:hanging="0"/>
        <w:rPr/>
      </w:pPr>
      <w:r>
        <w:rPr/>
        <w:t xml:space="preserve"> </w:t>
      </w:r>
    </w:p>
    <w:p>
      <w:pPr>
        <w:pStyle w:val="Normal"/>
        <w:spacing w:before="0" w:after="185"/>
        <w:ind w:left="25" w:firstLine="283"/>
        <w:rPr/>
      </w:pPr>
      <w:r>
        <w:rPr/>
        <w:t xml:space="preserve">Chaque kit contient du matériel pour effectuer des prélèvements en double exemplaire sur 15 spécimens de loutre trouvées mortes, soit 30 prélèvements. Il contient : </w:t>
      </w:r>
    </w:p>
    <w:p>
      <w:pPr>
        <w:pStyle w:val="Normal"/>
        <w:numPr>
          <w:ilvl w:val="0"/>
          <w:numId w:val="4"/>
        </w:numPr>
        <w:spacing w:lineRule="auto" w:line="259" w:before="0" w:after="29"/>
        <w:ind w:left="730" w:hanging="360"/>
        <w:jc w:val="both"/>
        <w:rPr/>
      </w:pPr>
      <w:r>
        <w:rPr/>
        <w:t xml:space="preserve">2 boîtes pour les microtubes (une à emporter sur le terrain, une à conserver pour le stockage des échantillons) </w:t>
      </w:r>
    </w:p>
    <w:p>
      <w:pPr>
        <w:pStyle w:val="Normal"/>
        <w:numPr>
          <w:ilvl w:val="0"/>
          <w:numId w:val="4"/>
        </w:numPr>
        <w:spacing w:lineRule="auto" w:line="283" w:before="0" w:after="4"/>
        <w:ind w:left="730" w:hanging="360"/>
        <w:jc w:val="both"/>
        <w:rPr/>
      </w:pPr>
      <w:r>
        <w:rPr>
          <w:rFonts w:eastAsia="Calibri" w:cs="Calibri" w:ascii="Calibri" w:hAnsi="Calibri"/>
        </w:rPr>
        <w:t>30 microtubes de 5 mL contenant de l’alcool à 95° non dénaturé</w:t>
      </w:r>
      <w:r>
        <w:rPr/>
        <w:t xml:space="preserve"> </w:t>
      </w:r>
    </w:p>
    <w:p>
      <w:pPr>
        <w:pStyle w:val="Normal"/>
        <w:numPr>
          <w:ilvl w:val="0"/>
          <w:numId w:val="4"/>
        </w:numPr>
        <w:spacing w:lineRule="auto" w:line="259" w:before="0" w:after="29"/>
        <w:ind w:left="730" w:hanging="360"/>
        <w:jc w:val="both"/>
        <w:rPr/>
      </w:pPr>
      <w:r>
        <w:rPr/>
        <w:t xml:space="preserve">15 paires de gants à usage unique </w:t>
      </w:r>
    </w:p>
    <w:p>
      <w:pPr>
        <w:pStyle w:val="Normal"/>
        <w:numPr>
          <w:ilvl w:val="0"/>
          <w:numId w:val="4"/>
        </w:numPr>
        <w:spacing w:lineRule="auto" w:line="259" w:before="0" w:after="29"/>
        <w:ind w:left="730" w:hanging="360"/>
        <w:jc w:val="both"/>
        <w:rPr/>
      </w:pPr>
      <w:r>
        <w:rPr/>
        <w:t xml:space="preserve">1 paire de ciseaux fins de dissection </w:t>
      </w:r>
    </w:p>
    <w:p>
      <w:pPr>
        <w:pStyle w:val="Normal"/>
        <w:numPr>
          <w:ilvl w:val="0"/>
          <w:numId w:val="4"/>
        </w:numPr>
        <w:spacing w:lineRule="auto" w:line="259" w:before="0" w:after="29"/>
        <w:ind w:left="730" w:hanging="360"/>
        <w:jc w:val="both"/>
        <w:rPr/>
      </w:pPr>
      <w:r>
        <w:rPr/>
        <w:t xml:space="preserve">1 pince </w:t>
      </w:r>
    </w:p>
    <w:p>
      <w:pPr>
        <w:pStyle w:val="Normal"/>
        <w:numPr>
          <w:ilvl w:val="0"/>
          <w:numId w:val="4"/>
        </w:numPr>
        <w:spacing w:lineRule="auto" w:line="283" w:before="0" w:after="4"/>
        <w:ind w:left="730" w:hanging="360"/>
        <w:jc w:val="both"/>
        <w:rPr/>
      </w:pPr>
      <w:r>
        <w:rPr>
          <w:rFonts w:eastAsia="Calibri" w:cs="Calibri" w:ascii="Calibri" w:hAnsi="Calibri"/>
        </w:rPr>
        <w:t>3 planches d’étiquettes pour microtubes</w:t>
      </w:r>
      <w:r>
        <w:rPr/>
        <w:t xml:space="preserve"> </w:t>
      </w:r>
    </w:p>
    <w:p>
      <w:pPr>
        <w:pStyle w:val="Normal"/>
        <w:numPr>
          <w:ilvl w:val="0"/>
          <w:numId w:val="4"/>
        </w:numPr>
        <w:spacing w:lineRule="auto" w:line="259" w:before="0" w:after="29"/>
        <w:ind w:left="730" w:hanging="360"/>
        <w:jc w:val="both"/>
        <w:rPr/>
      </w:pPr>
      <w:r>
        <w:rPr/>
        <w:t xml:space="preserve">3 fiches « bristol » blanches (pour les étiquettes intérieures des microtubes) </w:t>
      </w:r>
    </w:p>
    <w:p>
      <w:pPr>
        <w:pStyle w:val="Normal"/>
        <w:numPr>
          <w:ilvl w:val="0"/>
          <w:numId w:val="4"/>
        </w:numPr>
        <w:spacing w:lineRule="auto" w:line="259" w:before="0" w:after="29"/>
        <w:ind w:left="730" w:hanging="360"/>
        <w:jc w:val="both"/>
        <w:rPr/>
      </w:pPr>
      <w:r>
        <w:rPr/>
        <w:t xml:space="preserve">1 rouleau de scotch </w:t>
      </w:r>
    </w:p>
    <w:p>
      <w:pPr>
        <w:pStyle w:val="Normal"/>
        <w:numPr>
          <w:ilvl w:val="0"/>
          <w:numId w:val="4"/>
        </w:numPr>
        <w:spacing w:lineRule="auto" w:line="259" w:before="0" w:after="29"/>
        <w:ind w:left="730" w:hanging="360"/>
        <w:jc w:val="both"/>
        <w:rPr/>
      </w:pPr>
      <w:r>
        <w:rPr/>
        <w:t xml:space="preserve">1 crayon à papier </w:t>
      </w:r>
    </w:p>
    <w:p>
      <w:pPr>
        <w:pStyle w:val="Normal"/>
        <w:numPr>
          <w:ilvl w:val="0"/>
          <w:numId w:val="4"/>
        </w:numPr>
        <w:spacing w:lineRule="auto" w:line="259" w:before="0" w:after="29"/>
        <w:ind w:left="730" w:hanging="360"/>
        <w:jc w:val="both"/>
        <w:rPr/>
      </w:pPr>
      <w:r>
        <w:rPr/>
        <w:t xml:space="preserve">1 protocole pour réaliser des prélèvements </w:t>
      </w:r>
    </w:p>
    <w:p>
      <w:pPr>
        <w:pStyle w:val="Normal"/>
        <w:numPr>
          <w:ilvl w:val="0"/>
          <w:numId w:val="4"/>
        </w:numPr>
        <w:spacing w:lineRule="auto" w:line="259" w:before="0" w:after="189"/>
        <w:ind w:left="730" w:hanging="360"/>
        <w:jc w:val="both"/>
        <w:rPr/>
      </w:pPr>
      <w:r>
        <w:rPr/>
        <w:t xml:space="preserve">1 fiche de commémoratifs de niveau 1 </w:t>
      </w:r>
    </w:p>
    <w:p>
      <w:pPr>
        <w:pStyle w:val="Normal"/>
        <w:spacing w:before="0" w:after="184"/>
        <w:ind w:left="35" w:hanging="0"/>
        <w:rPr/>
      </w:pPr>
      <w:r>
        <w:rPr/>
        <w:t xml:space="preserve">Le kit doit comprendre en permanence suffisamment de fiches de commémoratifs afin de ne pas en manquer sur le terrain. Il est donc recommandé de réimprimer régulièrement des fiches de commémoratifs vierges. </w:t>
      </w:r>
    </w:p>
    <w:p>
      <w:pPr>
        <w:pStyle w:val="Normal"/>
        <w:spacing w:before="0" w:after="170"/>
        <w:ind w:left="308" w:hanging="0"/>
        <w:rPr/>
      </w:pPr>
      <w:r>
        <w:rPr/>
        <w:t xml:space="preserve"> </w:t>
      </w:r>
    </w:p>
    <w:p>
      <w:pPr>
        <w:pStyle w:val="Normal"/>
        <w:spacing w:lineRule="auto" w:line="283" w:before="0" w:after="171"/>
        <w:ind w:left="20" w:hanging="0"/>
        <w:rPr/>
      </w:pPr>
      <w:r>
        <w:rPr>
          <w:rFonts w:eastAsia="Calibri" w:cs="Calibri" w:ascii="Calibri" w:hAnsi="Calibri"/>
        </w:rPr>
        <w:t>L’envoi des kits est complété d’un envoi par courriel</w:t>
      </w:r>
      <w:r>
        <w:rPr/>
        <w:t xml:space="preserve"> : </w:t>
      </w:r>
    </w:p>
    <w:p>
      <w:pPr>
        <w:pStyle w:val="Normal"/>
        <w:numPr>
          <w:ilvl w:val="0"/>
          <w:numId w:val="4"/>
        </w:numPr>
        <w:spacing w:lineRule="auto" w:line="259" w:before="0" w:after="29"/>
        <w:ind w:left="730" w:hanging="360"/>
        <w:jc w:val="both"/>
        <w:rPr/>
      </w:pPr>
      <w:r>
        <w:rPr/>
        <w:t xml:space="preserve">du présent manuel </w:t>
      </w:r>
    </w:p>
    <w:p>
      <w:pPr>
        <w:pStyle w:val="Normal"/>
        <w:numPr>
          <w:ilvl w:val="0"/>
          <w:numId w:val="4"/>
        </w:numPr>
        <w:spacing w:lineRule="auto" w:line="259" w:before="0" w:after="29"/>
        <w:ind w:left="730" w:hanging="360"/>
        <w:jc w:val="both"/>
        <w:rPr/>
      </w:pPr>
      <w:r>
        <w:rPr/>
        <w:t xml:space="preserve">du protocole pour réaliser les prélèvements </w:t>
      </w:r>
    </w:p>
    <w:p>
      <w:pPr>
        <w:pStyle w:val="Normal"/>
        <w:numPr>
          <w:ilvl w:val="0"/>
          <w:numId w:val="4"/>
        </w:numPr>
        <w:spacing w:lineRule="auto" w:line="259" w:before="0" w:after="29"/>
        <w:ind w:left="730" w:hanging="360"/>
        <w:jc w:val="both"/>
        <w:rPr/>
      </w:pPr>
      <w:r>
        <w:rPr/>
        <w:t xml:space="preserve">du modèle de fiche de commémoratifs NIVEAU 1 </w:t>
      </w:r>
    </w:p>
    <w:p>
      <w:pPr>
        <w:pStyle w:val="Normal"/>
        <w:numPr>
          <w:ilvl w:val="0"/>
          <w:numId w:val="4"/>
        </w:numPr>
        <w:spacing w:lineRule="auto" w:line="259" w:before="0" w:after="184"/>
        <w:ind w:left="730" w:hanging="360"/>
        <w:jc w:val="both"/>
        <w:rPr/>
      </w:pPr>
      <w:r>
        <w:rPr/>
        <w:t xml:space="preserve">du tableur « Suivi_prelevements_LLU_Niveau_1.xls », à compléter par chaque animateur du réseau de collecte au fur et à mesure de la réalisation des prélèvements. Ce fichier permettra à </w:t>
      </w:r>
      <w:r>
        <w:rPr>
          <w:rFonts w:eastAsia="Calibri" w:cs="Calibri" w:ascii="Calibri" w:hAnsi="Calibri"/>
        </w:rPr>
        <w:t>la SFEPM de centraliser l’ensemble des données liées à la découvert</w:t>
      </w:r>
      <w:r>
        <w:rPr/>
        <w:t xml:space="preserve">e de cadavres au niveau national. Il est demandé de ne pas en modifier la structure.  </w:t>
      </w:r>
    </w:p>
    <w:p>
      <w:pPr>
        <w:pStyle w:val="Titre1"/>
        <w:spacing w:before="280" w:after="280"/>
        <w:ind w:left="303" w:hanging="0"/>
        <w:rPr/>
      </w:pPr>
      <w:bookmarkStart w:id="9" w:name="_Toc222740200"/>
      <w:r>
        <w:rPr>
          <w:rFonts w:cs="Calibri" w:ascii="Calibri" w:hAnsi="Calibri"/>
        </w:rPr>
        <w:t>Précautions d’hygiène &amp; de sécurité</w:t>
      </w:r>
      <w:bookmarkEnd w:id="9"/>
      <w:r>
        <w:rPr/>
        <w:t xml:space="preserve"> </w:t>
      </w:r>
    </w:p>
    <w:p>
      <w:pPr>
        <w:pStyle w:val="Normal"/>
        <w:spacing w:before="0" w:after="170"/>
        <w:rPr/>
      </w:pPr>
      <w:r>
        <w:rPr/>
        <w:t xml:space="preserve">Les personnes manipulant des cadavres ou des échantillons de faune sauvage doivent respecter des </w:t>
      </w:r>
      <w:r>
        <w:rPr>
          <w:rFonts w:eastAsia="Calibri" w:cs="Calibri" w:ascii="Calibri" w:hAnsi="Calibri"/>
        </w:rPr>
        <w:t xml:space="preserve">règles d’hygiène et de </w:t>
      </w:r>
      <w:r>
        <w:rPr/>
        <w:t xml:space="preserve">sécurité minimales. Seuls les risques de contamination par des pathogènes éventuellement présents chez ce mammifère sauvage sont abordés.  </w:t>
      </w:r>
    </w:p>
    <w:p>
      <w:pPr>
        <w:pStyle w:val="Normal"/>
        <w:spacing w:lineRule="auto" w:line="283" w:before="0" w:after="4"/>
        <w:ind w:left="20" w:hanging="0"/>
        <w:rPr/>
      </w:pPr>
      <w:r>
        <w:rPr/>
        <w:t xml:space="preserve">Les agents pathogènes (virus, champignons, bactéries, etc.) portés par les mammifères sauvages peuvent se </w:t>
      </w:r>
      <w:r>
        <w:rPr>
          <w:rFonts w:eastAsia="Calibri" w:cs="Calibri" w:ascii="Calibri" w:hAnsi="Calibri"/>
        </w:rPr>
        <w:t xml:space="preserve">retrouver sur leurs poils, dans leur sang, leurs organes, leur salive ou leurs narines, ou encore dans l’air lors du processus de décomposition d’un cadavre. Ces agents pathogènes peuvent alors pénétrer dans notre </w:t>
      </w:r>
      <w:r>
        <w:rPr/>
        <w:t xml:space="preserve">corps par les voies aériennes, par voie cutanée ou par contact direct avec la bouche ou les yeux. </w:t>
      </w:r>
    </w:p>
    <w:p>
      <w:pPr>
        <w:pStyle w:val="Normal"/>
        <w:spacing w:lineRule="auto" w:line="283" w:before="0" w:after="200"/>
        <w:ind w:left="20" w:hanging="0"/>
        <w:rPr/>
      </w:pPr>
      <w:r>
        <w:rPr>
          <w:rFonts w:eastAsia="Calibri" w:cs="Calibri" w:ascii="Calibri" w:hAnsi="Calibri"/>
        </w:rPr>
        <w:t xml:space="preserve">Il est donc indispensable de respecter des règles d’hygiène strictes lors de la manipulation de cadavres de </w:t>
      </w:r>
      <w:r>
        <w:rPr/>
        <w:t xml:space="preserve">loutres et de la réalisation de prélèvements. </w:t>
      </w:r>
    </w:p>
    <w:p>
      <w:pPr>
        <w:pStyle w:val="Titre2"/>
        <w:ind w:left="303" w:hanging="10"/>
        <w:rPr/>
      </w:pPr>
      <w:bookmarkStart w:id="10" w:name="_Toc222740201"/>
      <w:r>
        <w:rPr/>
        <w:t>Collecte</w:t>
      </w:r>
      <w:bookmarkEnd w:id="10"/>
      <w:r>
        <w:rPr/>
        <w:t xml:space="preserve"> </w:t>
      </w:r>
    </w:p>
    <w:p>
      <w:pPr>
        <w:pStyle w:val="Normal"/>
        <w:spacing w:before="0" w:after="289"/>
        <w:ind w:left="308" w:hanging="0"/>
        <w:rPr/>
      </w:pPr>
      <w:r>
        <w:rPr>
          <w:sz w:val="10"/>
        </w:rPr>
        <w:t xml:space="preserve"> </w:t>
      </w:r>
      <w:r>
        <w:rPr/>
        <w:t xml:space="preserve">Ne pas manipuler les échantillons à mains nues, porter des gants à usage unique </w:t>
      </w:r>
    </w:p>
    <w:p>
      <w:pPr>
        <w:pStyle w:val="Normal"/>
        <w:numPr>
          <w:ilvl w:val="0"/>
          <w:numId w:val="5"/>
        </w:numPr>
        <w:spacing w:lineRule="auto" w:line="259" w:before="0" w:after="29"/>
        <w:ind w:left="730" w:hanging="360"/>
        <w:jc w:val="both"/>
        <w:rPr/>
      </w:pPr>
      <w:r>
        <w:rPr/>
        <w:t xml:space="preserve">Se laver les mains puis les désinfecter avec du gel hydro alcoolique après la collecte </w:t>
      </w:r>
    </w:p>
    <w:p>
      <w:pPr>
        <w:pStyle w:val="Normal"/>
        <w:numPr>
          <w:ilvl w:val="0"/>
          <w:numId w:val="5"/>
        </w:numPr>
        <w:spacing w:lineRule="auto" w:line="259" w:before="0" w:after="29"/>
        <w:ind w:left="730" w:hanging="360"/>
        <w:jc w:val="both"/>
        <w:rPr/>
      </w:pPr>
      <w:r>
        <w:rPr/>
        <w:t xml:space="preserve">Ne pas porter le matériel à la bouche (contenants, etc.) </w:t>
      </w:r>
    </w:p>
    <w:p>
      <w:pPr>
        <w:pStyle w:val="Normal"/>
        <w:numPr>
          <w:ilvl w:val="0"/>
          <w:numId w:val="5"/>
        </w:numPr>
        <w:spacing w:lineRule="auto" w:line="259" w:before="0" w:after="29"/>
        <w:ind w:left="730" w:hanging="360"/>
        <w:jc w:val="both"/>
        <w:rPr/>
      </w:pPr>
      <w:r>
        <w:rPr/>
        <w:t xml:space="preserve">Laver avec du détergent et sécher le matériel de prélèvements (pince et ciseaux à dissection) après chaque collecte </w:t>
      </w:r>
    </w:p>
    <w:p>
      <w:pPr>
        <w:pStyle w:val="Normal"/>
        <w:spacing w:before="0" w:after="211"/>
        <w:ind w:left="745" w:hanging="0"/>
        <w:rPr/>
      </w:pPr>
      <w:r>
        <w:rPr/>
        <w:t xml:space="preserve"> </w:t>
      </w:r>
    </w:p>
    <w:p>
      <w:pPr>
        <w:pStyle w:val="Titre2"/>
        <w:ind w:left="303" w:hanging="10"/>
        <w:rPr/>
      </w:pPr>
      <w:bookmarkStart w:id="11" w:name="_Toc222740202"/>
      <w:r>
        <w:rPr/>
        <w:t>Stockage</w:t>
      </w:r>
      <w:bookmarkEnd w:id="11"/>
      <w:r>
        <w:rPr/>
        <w:t xml:space="preserve">  </w:t>
      </w:r>
    </w:p>
    <w:p>
      <w:pPr>
        <w:pStyle w:val="Normal"/>
        <w:spacing w:before="0" w:after="308"/>
        <w:ind w:left="308" w:hanging="0"/>
        <w:rPr/>
      </w:pPr>
      <w:r>
        <w:rPr>
          <w:sz w:val="8"/>
        </w:rPr>
        <w:t xml:space="preserve"> </w:t>
      </w:r>
      <w:r>
        <w:rPr>
          <w:rFonts w:eastAsia="Calibri" w:cs="Calibri" w:ascii="Calibri" w:hAnsi="Calibri"/>
        </w:rPr>
        <w:t xml:space="preserve">Afin d’éviter l’évaporation de l’alcool qui garantit la bonne conservation des échantillons, il est </w:t>
      </w:r>
      <w:r>
        <w:rPr/>
        <w:t xml:space="preserve">recommandé pour le stockage de :  </w:t>
      </w:r>
    </w:p>
    <w:p>
      <w:pPr>
        <w:pStyle w:val="Normal"/>
        <w:numPr>
          <w:ilvl w:val="0"/>
          <w:numId w:val="6"/>
        </w:numPr>
        <w:spacing w:lineRule="auto" w:line="259" w:before="0" w:after="29"/>
        <w:ind w:left="730" w:hanging="360"/>
        <w:jc w:val="both"/>
        <w:rPr/>
      </w:pPr>
      <w:r>
        <w:rPr/>
        <w:t>Privilégier un congélateur (-18°C / -20°C) pour un stockage de longue durée. A défaut, un stockage dans un freezer (-</w:t>
      </w:r>
      <w:r>
        <w:rPr>
          <w:rFonts w:eastAsia="Calibri" w:cs="Calibri" w:ascii="Calibri" w:hAnsi="Calibri"/>
        </w:rPr>
        <w:t xml:space="preserve">6°C) ou, en dernier lieu,  au réfrigérateur à l’abri de la lumière et de l’humidité </w:t>
      </w:r>
      <w:r>
        <w:rPr/>
        <w:t xml:space="preserve">conviendra. </w:t>
      </w:r>
    </w:p>
    <w:p>
      <w:pPr>
        <w:pStyle w:val="Normal"/>
        <w:numPr>
          <w:ilvl w:val="0"/>
          <w:numId w:val="6"/>
        </w:numPr>
        <w:spacing w:lineRule="auto" w:line="259" w:before="0" w:after="29"/>
        <w:ind w:left="730" w:hanging="360"/>
        <w:jc w:val="both"/>
        <w:rPr/>
      </w:pPr>
      <w:r>
        <w:rPr>
          <w:rFonts w:eastAsia="Calibri" w:cs="Calibri" w:ascii="Calibri" w:hAnsi="Calibri"/>
        </w:rPr>
        <w:t>Ne pas stocker l’échantillon dans un congélateur à usage alimentaire</w:t>
      </w:r>
      <w:r>
        <w:rPr/>
        <w:t xml:space="preserve"> ; sinon, utiliser un étiquetage explicite du contenu et éviter tout contact direct avec les contenants de denrées alimentaires.  </w:t>
      </w:r>
    </w:p>
    <w:p>
      <w:pPr>
        <w:pStyle w:val="Titre2"/>
        <w:ind w:left="303" w:hanging="10"/>
        <w:rPr/>
      </w:pPr>
      <w:r>
        <w:rPr/>
        <w:t xml:space="preserve"> </w:t>
      </w:r>
      <w:bookmarkStart w:id="12" w:name="_Toc222740203"/>
      <w:r>
        <w:rPr/>
        <w:t>Devenir des prélèvements</w:t>
      </w:r>
      <w:bookmarkEnd w:id="12"/>
      <w:r>
        <w:rPr/>
        <w:t xml:space="preserve"> </w:t>
      </w:r>
    </w:p>
    <w:p>
      <w:pPr>
        <w:pStyle w:val="Normal"/>
        <w:spacing w:before="0" w:after="251"/>
        <w:ind w:left="25" w:hanging="0"/>
        <w:rPr/>
      </w:pPr>
      <w:r>
        <w:rPr>
          <w:sz w:val="14"/>
        </w:rPr>
        <w:t xml:space="preserve"> </w:t>
      </w:r>
      <w:r>
        <w:rPr/>
        <w:t xml:space="preserve">Les échantillons et une copie des fiches commémoratives doivent être envoyés à la SFEPM, qui bancarisera les informations dans une base de données spécifique avant de les transférer au Muséum </w:t>
      </w:r>
      <w:r>
        <w:rPr>
          <w:rFonts w:eastAsia="Calibri" w:cs="Calibri" w:ascii="Calibri" w:hAnsi="Calibri"/>
        </w:rPr>
        <w:t>National d’Histoire Naturelle qui en assurera le stockage.</w:t>
      </w:r>
      <w:r>
        <w:rPr/>
        <w:t xml:space="preserve"> </w:t>
      </w:r>
    </w:p>
    <w:p>
      <w:pPr>
        <w:pStyle w:val="Normal"/>
        <w:spacing w:lineRule="auto" w:line="283" w:before="0" w:after="160"/>
        <w:ind w:left="20" w:hanging="0"/>
        <w:rPr/>
      </w:pPr>
      <w:r>
        <w:rPr>
          <w:rFonts w:eastAsia="Calibri" w:cs="Calibri" w:ascii="Calibri" w:hAnsi="Calibri"/>
        </w:rPr>
        <w:t xml:space="preserve">Si le stockage est recommandé au congélateur, l’envoi peut être réalisé à température ambiante. Privilégier l’envoi de plusieurs échantillons à la fois, et, si possible l’envoi d’une boîte pleine. </w:t>
      </w:r>
      <w:r>
        <w:rPr/>
        <w:t xml:space="preserve"> </w:t>
      </w:r>
    </w:p>
    <w:p>
      <w:pPr>
        <w:pStyle w:val="Normal"/>
        <w:spacing w:before="0" w:after="184"/>
        <w:ind w:left="35" w:hanging="0"/>
        <w:rPr/>
      </w:pPr>
      <w:r>
        <w:rPr/>
        <w:t xml:space="preserve">Placer la boîte contenant les microtubes dans une enveloppe à bulles ou un petit colis, en y incluant les fiches </w:t>
      </w:r>
      <w:r>
        <w:rPr>
          <w:rFonts w:eastAsia="Calibri" w:cs="Calibri" w:ascii="Calibri" w:hAnsi="Calibri"/>
        </w:rPr>
        <w:t>de commémoratifs, et l’envoyer à l’adresse suivante</w:t>
      </w:r>
      <w:r>
        <w:rPr/>
        <w:t xml:space="preserve"> : </w:t>
      </w:r>
    </w:p>
    <w:p>
      <w:pPr>
        <w:pStyle w:val="Titre3"/>
        <w:ind w:left="34" w:hanging="10"/>
        <w:rPr/>
      </w:pPr>
      <w:r>
        <w:rPr/>
        <w:t xml:space="preserve">SFEPM 19 allée René Ménard 18000 BOURGES </w:t>
      </w:r>
    </w:p>
    <w:p>
      <w:pPr>
        <w:pStyle w:val="Normal"/>
        <w:ind w:left="67" w:hanging="0"/>
        <w:jc w:val="center"/>
        <w:rPr/>
      </w:pPr>
      <w:r>
        <w:rPr/>
        <w:t xml:space="preserve"> </w:t>
      </w:r>
    </w:p>
    <w:p>
      <w:pPr>
        <w:pStyle w:val="Normal"/>
        <w:ind w:left="25" w:firstLine="283"/>
        <w:rPr/>
      </w:pPr>
      <w:r>
        <w:rPr/>
        <w:t xml:space="preserve">Envoyer en parallèle par courriel </w:t>
      </w:r>
      <w:r>
        <w:rPr>
          <w:rFonts w:eastAsia="Calibri" w:cs="Calibri" w:ascii="Calibri" w:hAnsi="Calibri"/>
        </w:rPr>
        <w:t>à l’animateur/l’animatrice du PNA (</w:t>
      </w:r>
      <w:r>
        <w:rPr>
          <w:color w:val="0563C1"/>
          <w:u w:val="single" w:color="0563C1"/>
        </w:rPr>
        <w:t>loutre@sfepm.org</w:t>
      </w:r>
      <w:r>
        <w:rPr/>
        <w:t xml:space="preserve">) une copie des fiches de commémoratifs envoyées par voie postale, les photos des cadavres référencées (renommées avec </w:t>
      </w:r>
      <w:r>
        <w:rPr>
          <w:rFonts w:eastAsia="Calibri" w:cs="Calibri" w:ascii="Calibri" w:hAnsi="Calibri"/>
        </w:rPr>
        <w:t xml:space="preserve">l’identifiant LLU) </w:t>
      </w:r>
      <w:r>
        <w:rPr/>
        <w:t xml:space="preserve">et de la zone, ainsi que le tableur fourni (« Suivi_prelevements_LLU_Niveau_1.xls ») avec les identifiants LLU des échantillons envoyés.  </w:t>
      </w:r>
    </w:p>
    <w:p>
      <w:pPr>
        <w:pStyle w:val="Normal"/>
        <w:spacing w:lineRule="auto" w:line="259" w:before="0" w:after="190"/>
        <w:jc w:val="both"/>
        <w:rPr/>
      </w:pPr>
      <w:r>
        <w:rPr/>
      </w:r>
    </w:p>
    <w:p>
      <w:pPr>
        <w:pStyle w:val="Normal"/>
        <w:ind w:left="2881" w:hanging="0"/>
        <w:rPr/>
      </w:pPr>
      <w:r>
        <w:rPr>
          <w:sz w:val="22"/>
        </w:rPr>
        <w:t xml:space="preserve"> </w:t>
      </w:r>
    </w:p>
    <w:p>
      <w:pPr>
        <w:pStyle w:val="Normal"/>
        <w:tabs>
          <w:tab w:val="clear" w:pos="708"/>
          <w:tab w:val="left" w:pos="1620" w:leader="none"/>
        </w:tabs>
        <w:spacing w:before="0" w:after="120"/>
        <w:jc w:val="right"/>
        <w:rPr>
          <w:rFonts w:ascii="Calibri" w:hAnsi="Calibri" w:cs="Arial"/>
        </w:rPr>
      </w:pPr>
      <w:r>
        <w:rPr/>
      </w:r>
    </w:p>
    <w:sectPr>
      <w:headerReference w:type="default" r:id="rId21"/>
      <w:footerReference w:type="default" r:id="rId22"/>
      <w:footnotePr>
        <w:numFmt w:val="decimal"/>
      </w:footnotePr>
      <w:type w:val="nextPage"/>
      <w:pgSz w:w="11906" w:h="16838"/>
      <w:pgMar w:left="1418" w:right="1361" w:gutter="0" w:header="737" w:top="2127" w:footer="1247" w:bottom="1843"/>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Verdana">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swiss"/>
    <w:pitch w:val="variable"/>
  </w:font>
  <w:font w:name="Calibri">
    <w:charset w:val="00"/>
    <w:family w:val="auto"/>
    <w:pitch w:val="default"/>
  </w:font>
  <w:font w:name="Source Sans Pro">
    <w:charset w:val="00"/>
    <w:family w:val="roman"/>
    <w:pitch w:val="variable"/>
  </w:font>
  <w:font w:name="Arial">
    <w:charset w:val="00"/>
    <w:family w:val="roman"/>
    <w:pitch w:val="variable"/>
  </w:font>
  <w:font w:name="Calibri">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rPr/>
    </w:pPr>
    <w:r>
      <w:rPr/>
      <w:drawing>
        <wp:anchor behindDoc="0" distT="0" distB="0" distL="114300" distR="114300" simplePos="0" locked="0" layoutInCell="0" allowOverlap="1" relativeHeight="15">
          <wp:simplePos x="0" y="0"/>
          <wp:positionH relativeFrom="column">
            <wp:posOffset>5142865</wp:posOffset>
          </wp:positionH>
          <wp:positionV relativeFrom="paragraph">
            <wp:posOffset>-635</wp:posOffset>
          </wp:positionV>
          <wp:extent cx="233680" cy="697865"/>
          <wp:effectExtent l="0" t="0" r="0" b="0"/>
          <wp:wrapThrough wrapText="bothSides">
            <wp:wrapPolygon edited="0">
              <wp:start x="-11" y="0"/>
              <wp:lineTo x="-11" y="21222"/>
              <wp:lineTo x="19362" y="21222"/>
              <wp:lineTo x="19362" y="0"/>
              <wp:lineTo x="-11" y="0"/>
            </wp:wrapPolygon>
          </wp:wrapThrough>
          <wp:docPr id="11"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5" descr=""/>
                  <pic:cNvPicPr>
                    <a:picLocks noChangeAspect="1" noChangeArrowheads="1"/>
                  </pic:cNvPicPr>
                </pic:nvPicPr>
                <pic:blipFill>
                  <a:blip r:embed="rId1"/>
                  <a:srcRect l="0" t="0" r="77395" b="0"/>
                  <a:stretch>
                    <a:fillRect/>
                  </a:stretch>
                </pic:blipFill>
                <pic:spPr bwMode="auto">
                  <a:xfrm>
                    <a:off x="0" y="0"/>
                    <a:ext cx="233680" cy="697865"/>
                  </a:xfrm>
                  <a:prstGeom prst="rect">
                    <a:avLst/>
                  </a:prstGeom>
                </pic:spPr>
              </pic:pic>
            </a:graphicData>
          </a:graphic>
        </wp:anchor>
      </w:drawing>
      <mc:AlternateContent>
        <mc:Choice Requires="wps">
          <w:drawing>
            <wp:anchor behindDoc="1" distT="0" distB="0" distL="635" distR="2540" simplePos="0" locked="0" layoutInCell="0" allowOverlap="1" relativeHeight="50" wp14:anchorId="4E157BDA">
              <wp:simplePos x="0" y="0"/>
              <wp:positionH relativeFrom="column">
                <wp:posOffset>-475615</wp:posOffset>
              </wp:positionH>
              <wp:positionV relativeFrom="paragraph">
                <wp:posOffset>8890</wp:posOffset>
              </wp:positionV>
              <wp:extent cx="5663565" cy="762635"/>
              <wp:effectExtent l="635" t="635" r="0" b="0"/>
              <wp:wrapNone/>
              <wp:docPr id="12" name="Zone de texte 2"/>
              <a:graphic xmlns:a="http://schemas.openxmlformats.org/drawingml/2006/main">
                <a:graphicData uri="http://schemas.microsoft.com/office/word/2010/wordprocessingShape">
                  <wps:wsp>
                    <wps:cNvSpPr/>
                    <wps:spPr>
                      <a:xfrm>
                        <a:off x="0" y="0"/>
                        <a:ext cx="5663520" cy="762480"/>
                      </a:xfrm>
                      <a:prstGeom prst="rect">
                        <a:avLst/>
                      </a:prstGeom>
                      <a:noFill/>
                      <a:ln w="0">
                        <a:noFill/>
                      </a:ln>
                    </wps:spPr>
                    <wps:style>
                      <a:lnRef idx="0"/>
                      <a:fillRef idx="0"/>
                      <a:effectRef idx="0"/>
                      <a:fontRef idx="minor"/>
                    </wps:style>
                    <wps:txbx>
                      <w:txbxContent>
                        <w:p>
                          <w:pPr>
                            <w:pStyle w:val="Contenudecadre"/>
                            <w:tabs>
                              <w:tab w:val="clear" w:pos="708"/>
                              <w:tab w:val="left" w:pos="1620" w:leader="none"/>
                            </w:tabs>
                            <w:rPr>
                              <w:rFonts w:ascii="Source Sans Pro" w:hAnsi="Source Sans Pro" w:cs="Arial"/>
                              <w:b/>
                              <w:b/>
                              <w:color w:val="0274BA"/>
                              <w:sz w:val="22"/>
                              <w:szCs w:val="22"/>
                            </w:rPr>
                          </w:pPr>
                          <w:r>
                            <w:rPr>
                              <w:rFonts w:cs="Arial" w:ascii="Source Sans Pro" w:hAnsi="Source Sans Pro"/>
                              <w:b/>
                              <w:color w:val="0274BA"/>
                              <w:sz w:val="22"/>
                              <w:szCs w:val="22"/>
                            </w:rPr>
                            <w:t>Ligue pour la Protection des oiseaux Anjou</w:t>
                          </w:r>
                        </w:p>
                        <w:p>
                          <w:pPr>
                            <w:pStyle w:val="Contenudecadre"/>
                            <w:tabs>
                              <w:tab w:val="clear" w:pos="708"/>
                              <w:tab w:val="left" w:pos="1620" w:leader="none"/>
                            </w:tabs>
                            <w:rPr>
                              <w:rFonts w:ascii="Arial" w:hAnsi="Arial" w:cs="Arial"/>
                              <w:sz w:val="10"/>
                              <w:szCs w:val="10"/>
                            </w:rPr>
                          </w:pPr>
                          <w:r>
                            <w:rPr>
                              <w:rFonts w:cs="Arial" w:ascii="Arial" w:hAnsi="Arial"/>
                              <w:sz w:val="10"/>
                              <w:szCs w:val="10"/>
                            </w:rPr>
                          </w:r>
                        </w:p>
                        <w:p>
                          <w:pPr>
                            <w:pStyle w:val="Contenudecadre"/>
                            <w:tabs>
                              <w:tab w:val="clear" w:pos="708"/>
                              <w:tab w:val="left" w:pos="1620" w:leader="none"/>
                            </w:tabs>
                            <w:rPr>
                              <w:rFonts w:ascii="Source Sans Pro" w:hAnsi="Source Sans Pro" w:cs="Arial"/>
                              <w:sz w:val="18"/>
                              <w:szCs w:val="18"/>
                            </w:rPr>
                          </w:pPr>
                          <w:r>
                            <w:rPr>
                              <w:rFonts w:cs="Arial" w:ascii="Source Sans Pro" w:hAnsi="Source Sans Pro"/>
                              <w:sz w:val="18"/>
                              <w:szCs w:val="18"/>
                            </w:rPr>
                            <w:t>35 rue de la Barre, 49000 ANGERS</w:t>
                          </w:r>
                        </w:p>
                        <w:p>
                          <w:pPr>
                            <w:pStyle w:val="Contenudecadre"/>
                            <w:tabs>
                              <w:tab w:val="clear" w:pos="708"/>
                              <w:tab w:val="left" w:pos="1620" w:leader="none"/>
                            </w:tabs>
                            <w:rPr>
                              <w:rFonts w:ascii="Source Sans Pro" w:hAnsi="Source Sans Pro" w:cs="Arial"/>
                              <w:sz w:val="18"/>
                              <w:szCs w:val="18"/>
                            </w:rPr>
                          </w:pPr>
                          <w:r>
                            <w:rPr>
                              <w:rFonts w:cs="Arial" w:ascii="Source Sans Pro" w:hAnsi="Source Sans Pro"/>
                              <w:sz w:val="18"/>
                              <w:szCs w:val="18"/>
                            </w:rPr>
                            <w:t xml:space="preserve">Tél. 02 41 44 44 22 </w:t>
                          </w:r>
                          <w:r>
                            <w:rPr/>
                            <w:drawing>
                              <wp:inline distT="0" distB="0" distL="0" distR="0">
                                <wp:extent cx="76200" cy="76200"/>
                                <wp:effectExtent l="0" t="0" r="0" b="0"/>
                                <wp:docPr id="14"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2" descr=""/>
                                        <pic:cNvPicPr>
                                          <a:picLocks noChangeAspect="1" noChangeArrowheads="1"/>
                                        </pic:cNvPicPr>
                                      </pic:nvPicPr>
                                      <pic:blipFill>
                                        <a:blip r:embed="rId2"/>
                                        <a:stretch>
                                          <a:fillRect/>
                                        </a:stretch>
                                      </pic:blipFill>
                                      <pic:spPr bwMode="auto">
                                        <a:xfrm>
                                          <a:off x="0" y="0"/>
                                          <a:ext cx="76200" cy="76200"/>
                                        </a:xfrm>
                                        <a:prstGeom prst="rect">
                                          <a:avLst/>
                                        </a:prstGeom>
                                      </pic:spPr>
                                    </pic:pic>
                                  </a:graphicData>
                                </a:graphic>
                              </wp:inline>
                            </w:drawing>
                          </w:r>
                          <w:r>
                            <w:rPr>
                              <w:sz w:val="20"/>
                              <w:szCs w:val="20"/>
                            </w:rPr>
                            <w:t xml:space="preserve"> </w:t>
                          </w:r>
                          <w:r>
                            <w:rPr>
                              <w:rFonts w:cs="Arial" w:ascii="Source Sans Pro" w:hAnsi="Source Sans Pro"/>
                              <w:sz w:val="18"/>
                              <w:szCs w:val="18"/>
                            </w:rPr>
                            <w:t>http://paysdelaloire.lpo.fr/</w:t>
                          </w:r>
                          <w:r>
                            <w:rPr/>
                            <w:drawing>
                              <wp:inline distT="0" distB="0" distL="0" distR="0">
                                <wp:extent cx="76200" cy="76200"/>
                                <wp:effectExtent l="0" t="0" r="0" b="0"/>
                                <wp:docPr id="15" name="Ima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3" descr=""/>
                                        <pic:cNvPicPr>
                                          <a:picLocks noChangeAspect="1" noChangeArrowheads="1"/>
                                        </pic:cNvPicPr>
                                      </pic:nvPicPr>
                                      <pic:blipFill>
                                        <a:blip r:embed="rId3"/>
                                        <a:stretch>
                                          <a:fillRect/>
                                        </a:stretch>
                                      </pic:blipFill>
                                      <pic:spPr bwMode="auto">
                                        <a:xfrm>
                                          <a:off x="0" y="0"/>
                                          <a:ext cx="76200" cy="76200"/>
                                        </a:xfrm>
                                        <a:prstGeom prst="rect">
                                          <a:avLst/>
                                        </a:prstGeom>
                                      </pic:spPr>
                                    </pic:pic>
                                  </a:graphicData>
                                </a:graphic>
                              </wp:inline>
                            </w:drawing>
                          </w:r>
                          <w:r>
                            <w:rPr>
                              <w:sz w:val="20"/>
                              <w:szCs w:val="20"/>
                            </w:rPr>
                            <w:t xml:space="preserve"> </w:t>
                          </w:r>
                          <w:r>
                            <w:rPr>
                              <w:rFonts w:cs="Arial" w:ascii="Source Sans Pro" w:hAnsi="Source Sans Pro"/>
                              <w:sz w:val="18"/>
                              <w:szCs w:val="18"/>
                            </w:rPr>
                            <w:t>elodie.agu@lpo.fr</w:t>
                          </w:r>
                        </w:p>
                      </w:txbxContent>
                    </wps:txbx>
                    <wps:bodyPr anchor="t" upright="1">
                      <a:noAutofit/>
                    </wps:bodyPr>
                  </wps:wsp>
                </a:graphicData>
              </a:graphic>
            </wp:anchor>
          </w:drawing>
        </mc:Choice>
        <mc:Fallback>
          <w:pict>
            <v:rect id="shape_0" ID="Zone de texte 2" path="m0,0l-2147483645,0l-2147483645,-2147483646l0,-2147483646xe" stroked="f" o:allowincell="f" style="position:absolute;margin-left:-37.45pt;margin-top:0.7pt;width:445.9pt;height:60pt;mso-wrap-style:square;v-text-anchor:top" wp14:anchorId="4E157BDA">
              <v:fill o:detectmouseclick="t" on="false"/>
              <v:stroke color="#3465a4" joinstyle="round" endcap="flat"/>
              <v:textbox>
                <w:txbxContent>
                  <w:p>
                    <w:pPr>
                      <w:pStyle w:val="Contenudecadre"/>
                      <w:tabs>
                        <w:tab w:val="clear" w:pos="708"/>
                        <w:tab w:val="left" w:pos="1620" w:leader="none"/>
                      </w:tabs>
                      <w:rPr>
                        <w:rFonts w:ascii="Source Sans Pro" w:hAnsi="Source Sans Pro" w:cs="Arial"/>
                        <w:b/>
                        <w:b/>
                        <w:color w:val="0274BA"/>
                        <w:sz w:val="22"/>
                        <w:szCs w:val="22"/>
                      </w:rPr>
                    </w:pPr>
                    <w:r>
                      <w:rPr>
                        <w:rFonts w:cs="Arial" w:ascii="Source Sans Pro" w:hAnsi="Source Sans Pro"/>
                        <w:b/>
                        <w:color w:val="0274BA"/>
                        <w:sz w:val="22"/>
                        <w:szCs w:val="22"/>
                      </w:rPr>
                      <w:t>Ligue pour la Protection des oiseaux Anjou</w:t>
                    </w:r>
                  </w:p>
                  <w:p>
                    <w:pPr>
                      <w:pStyle w:val="Contenudecadre"/>
                      <w:tabs>
                        <w:tab w:val="clear" w:pos="708"/>
                        <w:tab w:val="left" w:pos="1620" w:leader="none"/>
                      </w:tabs>
                      <w:rPr>
                        <w:rFonts w:ascii="Arial" w:hAnsi="Arial" w:cs="Arial"/>
                        <w:sz w:val="10"/>
                        <w:szCs w:val="10"/>
                      </w:rPr>
                    </w:pPr>
                    <w:r>
                      <w:rPr>
                        <w:rFonts w:cs="Arial" w:ascii="Arial" w:hAnsi="Arial"/>
                        <w:sz w:val="10"/>
                        <w:szCs w:val="10"/>
                      </w:rPr>
                    </w:r>
                  </w:p>
                  <w:p>
                    <w:pPr>
                      <w:pStyle w:val="Contenudecadre"/>
                      <w:tabs>
                        <w:tab w:val="clear" w:pos="708"/>
                        <w:tab w:val="left" w:pos="1620" w:leader="none"/>
                      </w:tabs>
                      <w:rPr>
                        <w:rFonts w:ascii="Source Sans Pro" w:hAnsi="Source Sans Pro" w:cs="Arial"/>
                        <w:sz w:val="18"/>
                        <w:szCs w:val="18"/>
                      </w:rPr>
                    </w:pPr>
                    <w:r>
                      <w:rPr>
                        <w:rFonts w:cs="Arial" w:ascii="Source Sans Pro" w:hAnsi="Source Sans Pro"/>
                        <w:sz w:val="18"/>
                        <w:szCs w:val="18"/>
                      </w:rPr>
                      <w:t>35 rue de la Barre, 49000 ANGERS</w:t>
                    </w:r>
                  </w:p>
                  <w:p>
                    <w:pPr>
                      <w:pStyle w:val="Contenudecadre"/>
                      <w:tabs>
                        <w:tab w:val="clear" w:pos="708"/>
                        <w:tab w:val="left" w:pos="1620" w:leader="none"/>
                      </w:tabs>
                      <w:rPr>
                        <w:rFonts w:ascii="Source Sans Pro" w:hAnsi="Source Sans Pro" w:cs="Arial"/>
                        <w:sz w:val="18"/>
                        <w:szCs w:val="18"/>
                      </w:rPr>
                    </w:pPr>
                    <w:r>
                      <w:rPr>
                        <w:rFonts w:cs="Arial" w:ascii="Source Sans Pro" w:hAnsi="Source Sans Pro"/>
                        <w:sz w:val="18"/>
                        <w:szCs w:val="18"/>
                      </w:rPr>
                      <w:t xml:space="preserve">Tél. 02 41 44 44 22 </w:t>
                    </w:r>
                    <w:r>
                      <w:rPr/>
                      <w:drawing>
                        <wp:inline distT="0" distB="0" distL="0" distR="0">
                          <wp:extent cx="76200" cy="76200"/>
                          <wp:effectExtent l="0" t="0" r="0" b="0"/>
                          <wp:docPr id="16"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2" descr=""/>
                                  <pic:cNvPicPr>
                                    <a:picLocks noChangeAspect="1" noChangeArrowheads="1"/>
                                  </pic:cNvPicPr>
                                </pic:nvPicPr>
                                <pic:blipFill>
                                  <a:blip r:embed="rId4"/>
                                  <a:stretch>
                                    <a:fillRect/>
                                  </a:stretch>
                                </pic:blipFill>
                                <pic:spPr bwMode="auto">
                                  <a:xfrm>
                                    <a:off x="0" y="0"/>
                                    <a:ext cx="76200" cy="76200"/>
                                  </a:xfrm>
                                  <a:prstGeom prst="rect">
                                    <a:avLst/>
                                  </a:prstGeom>
                                </pic:spPr>
                              </pic:pic>
                            </a:graphicData>
                          </a:graphic>
                        </wp:inline>
                      </w:drawing>
                    </w:r>
                    <w:r>
                      <w:rPr>
                        <w:sz w:val="20"/>
                        <w:szCs w:val="20"/>
                      </w:rPr>
                      <w:t xml:space="preserve"> </w:t>
                    </w:r>
                    <w:r>
                      <w:rPr>
                        <w:rFonts w:cs="Arial" w:ascii="Source Sans Pro" w:hAnsi="Source Sans Pro"/>
                        <w:sz w:val="18"/>
                        <w:szCs w:val="18"/>
                      </w:rPr>
                      <w:t>http://paysdelaloire.lpo.fr/</w:t>
                    </w:r>
                    <w:r>
                      <w:rPr/>
                      <w:drawing>
                        <wp:inline distT="0" distB="0" distL="0" distR="0">
                          <wp:extent cx="76200" cy="76200"/>
                          <wp:effectExtent l="0" t="0" r="0" b="0"/>
                          <wp:docPr id="17" name="Ima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3" descr=""/>
                                  <pic:cNvPicPr>
                                    <a:picLocks noChangeAspect="1" noChangeArrowheads="1"/>
                                  </pic:cNvPicPr>
                                </pic:nvPicPr>
                                <pic:blipFill>
                                  <a:blip r:embed="rId5"/>
                                  <a:stretch>
                                    <a:fillRect/>
                                  </a:stretch>
                                </pic:blipFill>
                                <pic:spPr bwMode="auto">
                                  <a:xfrm>
                                    <a:off x="0" y="0"/>
                                    <a:ext cx="76200" cy="76200"/>
                                  </a:xfrm>
                                  <a:prstGeom prst="rect">
                                    <a:avLst/>
                                  </a:prstGeom>
                                </pic:spPr>
                              </pic:pic>
                            </a:graphicData>
                          </a:graphic>
                        </wp:inline>
                      </w:drawing>
                    </w:r>
                    <w:r>
                      <w:rPr>
                        <w:sz w:val="20"/>
                        <w:szCs w:val="20"/>
                      </w:rPr>
                      <w:t xml:space="preserve"> </w:t>
                    </w:r>
                    <w:r>
                      <w:rPr>
                        <w:rFonts w:cs="Arial" w:ascii="Source Sans Pro" w:hAnsi="Source Sans Pro"/>
                        <w:sz w:val="18"/>
                        <w:szCs w:val="18"/>
                      </w:rPr>
                      <w:t>elodie.agu@lpo.fr</w:t>
                    </w:r>
                  </w:p>
                </w:txbxContent>
              </v:textbox>
              <w10:wrap type="none"/>
            </v:rect>
          </w:pict>
        </mc:Fallback>
      </mc:AlternateContent>
      <mc:AlternateContent>
        <mc:Choice Requires="wps">
          <w:drawing>
            <wp:anchor behindDoc="1" distT="0" distB="0" distL="2540" distR="0" simplePos="0" locked="0" layoutInCell="0" allowOverlap="1" relativeHeight="74" wp14:anchorId="5E0858D3">
              <wp:simplePos x="0" y="0"/>
              <wp:positionH relativeFrom="column">
                <wp:posOffset>5288915</wp:posOffset>
              </wp:positionH>
              <wp:positionV relativeFrom="paragraph">
                <wp:posOffset>7620</wp:posOffset>
              </wp:positionV>
              <wp:extent cx="2317115" cy="690245"/>
              <wp:effectExtent l="635" t="635" r="0" b="0"/>
              <wp:wrapNone/>
              <wp:docPr id="18" name="Zone de texte 2"/>
              <a:graphic xmlns:a="http://schemas.openxmlformats.org/drawingml/2006/main">
                <a:graphicData uri="http://schemas.microsoft.com/office/word/2010/wordprocessingShape">
                  <wps:wsp>
                    <wps:cNvSpPr/>
                    <wps:spPr>
                      <a:xfrm>
                        <a:off x="0" y="0"/>
                        <a:ext cx="2316960" cy="690120"/>
                      </a:xfrm>
                      <a:prstGeom prst="rect">
                        <a:avLst/>
                      </a:prstGeom>
                      <a:solidFill>
                        <a:srgbClr val="ffffff"/>
                      </a:solidFill>
                      <a:ln w="0">
                        <a:noFill/>
                      </a:ln>
                    </wps:spPr>
                    <wps:style>
                      <a:lnRef idx="0"/>
                      <a:fillRef idx="0"/>
                      <a:effectRef idx="0"/>
                      <a:fontRef idx="minor"/>
                    </wps:style>
                    <wps:txbx>
                      <w:txbxContent>
                        <w:p>
                          <w:pPr>
                            <w:pStyle w:val="Contenudecadre"/>
                            <w:rPr/>
                          </w:pPr>
                          <w:r>
                            <w:rPr/>
                            <w:drawing>
                              <wp:inline distT="0" distB="0" distL="0" distR="0">
                                <wp:extent cx="809625" cy="600075"/>
                                <wp:effectExtent l="0" t="0" r="0" b="0"/>
                                <wp:docPr id="20" name="Image6" descr="LOGO_BirdLife_2013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6" descr="LOGO_BirdLife_2013_Quadri"/>
                                        <pic:cNvPicPr>
                                          <a:picLocks noChangeAspect="1" noChangeArrowheads="1"/>
                                        </pic:cNvPicPr>
                                      </pic:nvPicPr>
                                      <pic:blipFill>
                                        <a:blip r:embed="rId6"/>
                                        <a:stretch>
                                          <a:fillRect/>
                                        </a:stretch>
                                      </pic:blipFill>
                                      <pic:spPr bwMode="auto">
                                        <a:xfrm>
                                          <a:off x="0" y="0"/>
                                          <a:ext cx="809625" cy="600075"/>
                                        </a:xfrm>
                                        <a:prstGeom prst="rect">
                                          <a:avLst/>
                                        </a:prstGeom>
                                      </pic:spPr>
                                    </pic:pic>
                                  </a:graphicData>
                                </a:graphic>
                              </wp:inline>
                            </w:drawing>
                          </w:r>
                        </w:p>
                      </w:txbxContent>
                    </wps:txbx>
                    <wps:bodyPr anchor="t" upright="1">
                      <a:spAutoFit/>
                    </wps:bodyPr>
                  </wps:wsp>
                </a:graphicData>
              </a:graphic>
              <wp14:sizeRelH relativeFrom="margin">
                <wp14:pctWidth>40000</wp14:pctWidth>
              </wp14:sizeRelH>
              <wp14:sizeRelV relativeFrom="margin">
                <wp14:pctHeight>20000</wp14:pctHeight>
              </wp14:sizeRelV>
            </wp:anchor>
          </w:drawing>
        </mc:Choice>
        <mc:Fallback>
          <w:pict>
            <v:rect id="shape_0" ID="Zone de texte 2" path="m0,0l-2147483645,0l-2147483645,-2147483646l0,-2147483646xe" fillcolor="white" stroked="f" o:allowincell="f" style="position:absolute;margin-left:416.45pt;margin-top:0.6pt;width:182.4pt;height:54.3pt;mso-wrap-style:none;v-text-anchor:middle" wp14:anchorId="5E0858D3">
              <v:fill o:detectmouseclick="t" type="solid" color2="black"/>
              <v:stroke color="#3465a4" joinstyle="round" endcap="flat"/>
              <v:textbox>
                <w:txbxContent>
                  <w:p>
                    <w:pPr>
                      <w:pStyle w:val="Contenudecadre"/>
                      <w:rPr/>
                    </w:pPr>
                    <w:r>
                      <w:rPr/>
                      <w:drawing>
                        <wp:inline distT="0" distB="0" distL="0" distR="0">
                          <wp:extent cx="809625" cy="600075"/>
                          <wp:effectExtent l="0" t="0" r="0" b="0"/>
                          <wp:docPr id="21" name="Image6" descr="LOGO_BirdLife_2013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6" descr="LOGO_BirdLife_2013_Quadri"/>
                                  <pic:cNvPicPr>
                                    <a:picLocks noChangeAspect="1" noChangeArrowheads="1"/>
                                  </pic:cNvPicPr>
                                </pic:nvPicPr>
                                <pic:blipFill>
                                  <a:blip r:embed="rId7"/>
                                  <a:stretch>
                                    <a:fillRect/>
                                  </a:stretch>
                                </pic:blipFill>
                                <pic:spPr bwMode="auto">
                                  <a:xfrm>
                                    <a:off x="0" y="0"/>
                                    <a:ext cx="809625" cy="600075"/>
                                  </a:xfrm>
                                  <a:prstGeom prst="rect">
                                    <a:avLst/>
                                  </a:prstGeom>
                                </pic:spPr>
                              </pic:pic>
                            </a:graphicData>
                          </a:graphic>
                        </wp:inline>
                      </w:drawing>
                    </w:r>
                  </w:p>
                </w:txbxContent>
              </v:textbox>
              <w10:wrap type="none"/>
            </v:rect>
          </w:pict>
        </mc:Fallback>
      </mc:AlternateConten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description"/>
        <w:rPr/>
      </w:pPr>
      <w:r>
        <w:rPr>
          <w:rStyle w:val="Caractresdenotedebasdepage"/>
        </w:rPr>
        <w:footnoteRef/>
      </w:r>
      <w:r>
        <w:rPr/>
        <w:t xml:space="preserve"> </w:t>
      </w:r>
      <w:r>
        <w:rPr>
          <w:color w:val="000000"/>
          <w:u w:val="none" w:color="000000"/>
        </w:rPr>
        <w:t xml:space="preserve">Lire le protocole de valorisation des spécimens du PNA pour plus de détails : </w:t>
      </w:r>
      <w:hyperlink r:id="rId1">
        <w:r>
          <w:rPr/>
          <w:t>https://www.sfepm.org/sites/default/files/inline</w:t>
        </w:r>
      </w:hyperlink>
      <w:hyperlink r:id="rId2">
        <w:r>
          <w:rPr/>
          <w:t>-</w:t>
        </w:r>
      </w:hyperlink>
      <w:hyperlink r:id="rId3">
        <w:r>
          <w:rPr/>
          <w:t>files/Protocole_Valorisation</w:t>
        </w:r>
      </w:hyperlink>
      <w:hyperlink r:id="rId4">
        <w:r>
          <w:rPr/>
          <w:t>-</w:t>
        </w:r>
      </w:hyperlink>
      <w:hyperlink r:id="rId5">
        <w:r>
          <w:rPr/>
          <w:t>cadavres_PNALoutre_2021.pdf</w:t>
        </w:r>
      </w:hyperlink>
      <w:hyperlink r:id="rId6">
        <w:r>
          <w:rPr>
            <w:color w:val="000000"/>
            <w:u w:val="none" w:color="000000"/>
          </w:rPr>
          <w:t xml:space="preserve"> </w:t>
        </w:r>
      </w:hyperlink>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tte"/>
      <w:rPr/>
    </w:pPr>
    <w:r>
      <w:rPr/>
      <w:drawing>
        <wp:inline distT="0" distB="0" distL="0" distR="0">
          <wp:extent cx="1488440" cy="720090"/>
          <wp:effectExtent l="0" t="0" r="0" b="0"/>
          <wp:docPr id="10"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4" descr=""/>
                  <pic:cNvPicPr>
                    <a:picLocks noChangeAspect="1" noChangeArrowheads="1"/>
                  </pic:cNvPicPr>
                </pic:nvPicPr>
                <pic:blipFill>
                  <a:blip r:embed="rId1"/>
                  <a:stretch>
                    <a:fillRect/>
                  </a:stretch>
                </pic:blipFill>
                <pic:spPr bwMode="auto">
                  <a:xfrm>
                    <a:off x="0" y="0"/>
                    <a:ext cx="1488440" cy="72009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705" w:hanging="0"/>
      </w:pPr>
      <w:rPr>
        <w:dstrike w:val="false"/>
        <w:strike w:val="false"/>
        <w:vertAlign w:val="baseline"/>
        <w:position w:val="0"/>
        <w:sz w:val="21"/>
        <w:sz w:val="21"/>
        <w:i w:val="false"/>
        <w:u w:val="none" w:color="000000"/>
        <w:b w:val="false"/>
        <w:shd w:fill="auto" w:val="clear"/>
        <w:szCs w:val="21"/>
        <w:rFonts w:ascii="Calibri" w:hAnsi="Calibri" w:eastAsia="Calibri" w:cs="Calibri"/>
        <w:color w:val="000000"/>
      </w:rPr>
    </w:lvl>
    <w:lvl w:ilvl="1">
      <w:start w:val="1"/>
      <w:numFmt w:val="lowerLetter"/>
      <w:lvlText w:val="%2"/>
      <w:lvlJc w:val="left"/>
      <w:pPr>
        <w:tabs>
          <w:tab w:val="num" w:pos="0"/>
        </w:tabs>
        <w:ind w:left="1440" w:hanging="0"/>
      </w:pPr>
      <w:rPr>
        <w:dstrike w:val="false"/>
        <w:strike w:val="false"/>
        <w:vertAlign w:val="baseline"/>
        <w:position w:val="0"/>
        <w:sz w:val="21"/>
        <w:sz w:val="21"/>
        <w:i w:val="false"/>
        <w:u w:val="none" w:color="000000"/>
        <w:b w:val="false"/>
        <w:shd w:fill="auto" w:val="clear"/>
        <w:szCs w:val="21"/>
        <w:rFonts w:ascii="Calibri" w:hAnsi="Calibri" w:eastAsia="Calibri" w:cs="Calibri"/>
        <w:color w:val="000000"/>
      </w:rPr>
    </w:lvl>
    <w:lvl w:ilvl="2">
      <w:start w:val="1"/>
      <w:numFmt w:val="lowerRoman"/>
      <w:lvlText w:val="%3"/>
      <w:lvlJc w:val="left"/>
      <w:pPr>
        <w:tabs>
          <w:tab w:val="num" w:pos="0"/>
        </w:tabs>
        <w:ind w:left="2160" w:hanging="0"/>
      </w:pPr>
      <w:rPr>
        <w:dstrike w:val="false"/>
        <w:strike w:val="false"/>
        <w:vertAlign w:val="baseline"/>
        <w:position w:val="0"/>
        <w:sz w:val="21"/>
        <w:sz w:val="21"/>
        <w:i w:val="false"/>
        <w:u w:val="none" w:color="000000"/>
        <w:b w:val="false"/>
        <w:shd w:fill="auto" w:val="clear"/>
        <w:szCs w:val="21"/>
        <w:rFonts w:ascii="Calibri" w:hAnsi="Calibri" w:eastAsia="Calibri" w:cs="Calibri"/>
        <w:color w:val="000000"/>
      </w:rPr>
    </w:lvl>
    <w:lvl w:ilvl="3">
      <w:start w:val="1"/>
      <w:numFmt w:val="decimal"/>
      <w:lvlText w:val="%4"/>
      <w:lvlJc w:val="left"/>
      <w:pPr>
        <w:tabs>
          <w:tab w:val="num" w:pos="0"/>
        </w:tabs>
        <w:ind w:left="2880" w:hanging="0"/>
      </w:pPr>
      <w:rPr>
        <w:dstrike w:val="false"/>
        <w:strike w:val="false"/>
        <w:vertAlign w:val="baseline"/>
        <w:position w:val="0"/>
        <w:sz w:val="21"/>
        <w:sz w:val="21"/>
        <w:i w:val="false"/>
        <w:u w:val="none" w:color="000000"/>
        <w:b w:val="false"/>
        <w:shd w:fill="auto" w:val="clear"/>
        <w:szCs w:val="21"/>
        <w:rFonts w:ascii="Calibri" w:hAnsi="Calibri" w:eastAsia="Calibri" w:cs="Calibri"/>
        <w:color w:val="000000"/>
      </w:rPr>
    </w:lvl>
    <w:lvl w:ilvl="4">
      <w:start w:val="1"/>
      <w:numFmt w:val="lowerLetter"/>
      <w:lvlText w:val="%5"/>
      <w:lvlJc w:val="left"/>
      <w:pPr>
        <w:tabs>
          <w:tab w:val="num" w:pos="0"/>
        </w:tabs>
        <w:ind w:left="3600" w:hanging="0"/>
      </w:pPr>
      <w:rPr>
        <w:dstrike w:val="false"/>
        <w:strike w:val="false"/>
        <w:vertAlign w:val="baseline"/>
        <w:position w:val="0"/>
        <w:sz w:val="21"/>
        <w:sz w:val="21"/>
        <w:i w:val="false"/>
        <w:u w:val="none" w:color="000000"/>
        <w:b w:val="false"/>
        <w:shd w:fill="auto" w:val="clear"/>
        <w:szCs w:val="21"/>
        <w:rFonts w:ascii="Calibri" w:hAnsi="Calibri" w:eastAsia="Calibri" w:cs="Calibri"/>
        <w:color w:val="000000"/>
      </w:rPr>
    </w:lvl>
    <w:lvl w:ilvl="5">
      <w:start w:val="1"/>
      <w:numFmt w:val="lowerRoman"/>
      <w:lvlText w:val="%6"/>
      <w:lvlJc w:val="left"/>
      <w:pPr>
        <w:tabs>
          <w:tab w:val="num" w:pos="0"/>
        </w:tabs>
        <w:ind w:left="4320" w:hanging="0"/>
      </w:pPr>
      <w:rPr>
        <w:dstrike w:val="false"/>
        <w:strike w:val="false"/>
        <w:vertAlign w:val="baseline"/>
        <w:position w:val="0"/>
        <w:sz w:val="21"/>
        <w:sz w:val="21"/>
        <w:i w:val="false"/>
        <w:u w:val="none" w:color="000000"/>
        <w:b w:val="false"/>
        <w:shd w:fill="auto" w:val="clear"/>
        <w:szCs w:val="21"/>
        <w:rFonts w:ascii="Calibri" w:hAnsi="Calibri" w:eastAsia="Calibri" w:cs="Calibri"/>
        <w:color w:val="000000"/>
      </w:rPr>
    </w:lvl>
    <w:lvl w:ilvl="6">
      <w:start w:val="1"/>
      <w:numFmt w:val="decimal"/>
      <w:lvlText w:val="%7"/>
      <w:lvlJc w:val="left"/>
      <w:pPr>
        <w:tabs>
          <w:tab w:val="num" w:pos="0"/>
        </w:tabs>
        <w:ind w:left="5040" w:hanging="0"/>
      </w:pPr>
      <w:rPr>
        <w:dstrike w:val="false"/>
        <w:strike w:val="false"/>
        <w:vertAlign w:val="baseline"/>
        <w:position w:val="0"/>
        <w:sz w:val="21"/>
        <w:sz w:val="21"/>
        <w:i w:val="false"/>
        <w:u w:val="none" w:color="000000"/>
        <w:b w:val="false"/>
        <w:shd w:fill="auto" w:val="clear"/>
        <w:szCs w:val="21"/>
        <w:rFonts w:ascii="Calibri" w:hAnsi="Calibri" w:eastAsia="Calibri" w:cs="Calibri"/>
        <w:color w:val="000000"/>
      </w:rPr>
    </w:lvl>
    <w:lvl w:ilvl="7">
      <w:start w:val="1"/>
      <w:numFmt w:val="lowerLetter"/>
      <w:lvlText w:val="%8"/>
      <w:lvlJc w:val="left"/>
      <w:pPr>
        <w:tabs>
          <w:tab w:val="num" w:pos="0"/>
        </w:tabs>
        <w:ind w:left="5760" w:hanging="0"/>
      </w:pPr>
      <w:rPr>
        <w:dstrike w:val="false"/>
        <w:strike w:val="false"/>
        <w:vertAlign w:val="baseline"/>
        <w:position w:val="0"/>
        <w:sz w:val="21"/>
        <w:sz w:val="21"/>
        <w:i w:val="false"/>
        <w:u w:val="none" w:color="000000"/>
        <w:b w:val="false"/>
        <w:shd w:fill="auto" w:val="clear"/>
        <w:szCs w:val="21"/>
        <w:rFonts w:ascii="Calibri" w:hAnsi="Calibri" w:eastAsia="Calibri" w:cs="Calibri"/>
        <w:color w:val="000000"/>
      </w:rPr>
    </w:lvl>
    <w:lvl w:ilvl="8">
      <w:start w:val="1"/>
      <w:numFmt w:val="lowerRoman"/>
      <w:lvlText w:val="%9"/>
      <w:lvlJc w:val="left"/>
      <w:pPr>
        <w:tabs>
          <w:tab w:val="num" w:pos="0"/>
        </w:tabs>
        <w:ind w:left="6480" w:hanging="0"/>
      </w:pPr>
      <w:rPr>
        <w:dstrike w:val="false"/>
        <w:strike w:val="false"/>
        <w:vertAlign w:val="baseline"/>
        <w:position w:val="0"/>
        <w:sz w:val="21"/>
        <w:sz w:val="21"/>
        <w:i w:val="false"/>
        <w:u w:val="none" w:color="000000"/>
        <w:b w:val="false"/>
        <w:shd w:fill="auto" w:val="clear"/>
        <w:szCs w:val="21"/>
        <w:rFonts w:ascii="Calibri" w:hAnsi="Calibri" w:eastAsia="Calibri" w:cs="Calibri"/>
        <w:color w:val="000000"/>
      </w:rPr>
    </w:lvl>
  </w:abstractNum>
  <w:abstractNum w:abstractNumId="3">
    <w:lvl w:ilvl="0">
      <w:start w:val="1"/>
      <w:numFmt w:val="bullet"/>
      <w:lvlText w:val=""/>
      <w:lvlJc w:val="left"/>
      <w:pPr>
        <w:tabs>
          <w:tab w:val="num" w:pos="0"/>
        </w:tabs>
        <w:ind w:left="745"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1">
      <w:start w:val="1"/>
      <w:numFmt w:val="bullet"/>
      <w:lvlText w:val="o"/>
      <w:lvlJc w:val="left"/>
      <w:pPr>
        <w:tabs>
          <w:tab w:val="num" w:pos="0"/>
        </w:tabs>
        <w:ind w:left="144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2">
      <w:start w:val="1"/>
      <w:numFmt w:val="bullet"/>
      <w:lvlText w:val="▪"/>
      <w:lvlJc w:val="left"/>
      <w:pPr>
        <w:tabs>
          <w:tab w:val="num" w:pos="0"/>
        </w:tabs>
        <w:ind w:left="216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3">
      <w:start w:val="1"/>
      <w:numFmt w:val="bullet"/>
      <w:lvlText w:val="•"/>
      <w:lvlJc w:val="left"/>
      <w:pPr>
        <w:tabs>
          <w:tab w:val="num" w:pos="0"/>
        </w:tabs>
        <w:ind w:left="288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4">
      <w:start w:val="1"/>
      <w:numFmt w:val="bullet"/>
      <w:lvlText w:val="o"/>
      <w:lvlJc w:val="left"/>
      <w:pPr>
        <w:tabs>
          <w:tab w:val="num" w:pos="0"/>
        </w:tabs>
        <w:ind w:left="360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5">
      <w:start w:val="1"/>
      <w:numFmt w:val="bullet"/>
      <w:lvlText w:val="▪"/>
      <w:lvlJc w:val="left"/>
      <w:pPr>
        <w:tabs>
          <w:tab w:val="num" w:pos="0"/>
        </w:tabs>
        <w:ind w:left="432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6">
      <w:start w:val="1"/>
      <w:numFmt w:val="bullet"/>
      <w:lvlText w:val="•"/>
      <w:lvlJc w:val="left"/>
      <w:pPr>
        <w:tabs>
          <w:tab w:val="num" w:pos="0"/>
        </w:tabs>
        <w:ind w:left="504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7">
      <w:start w:val="1"/>
      <w:numFmt w:val="bullet"/>
      <w:lvlText w:val="o"/>
      <w:lvlJc w:val="left"/>
      <w:pPr>
        <w:tabs>
          <w:tab w:val="num" w:pos="0"/>
        </w:tabs>
        <w:ind w:left="576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8">
      <w:start w:val="1"/>
      <w:numFmt w:val="bullet"/>
      <w:lvlText w:val="▪"/>
      <w:lvlJc w:val="left"/>
      <w:pPr>
        <w:tabs>
          <w:tab w:val="num" w:pos="0"/>
        </w:tabs>
        <w:ind w:left="648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abstractNum>
  <w:abstractNum w:abstractNumId="4">
    <w:lvl w:ilvl="0">
      <w:start w:val="1"/>
      <w:numFmt w:val="bullet"/>
      <w:lvlText w:val=""/>
      <w:lvlJc w:val="left"/>
      <w:pPr>
        <w:tabs>
          <w:tab w:val="num" w:pos="0"/>
        </w:tabs>
        <w:ind w:left="73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1">
      <w:start w:val="1"/>
      <w:numFmt w:val="bullet"/>
      <w:lvlText w:val="o"/>
      <w:lvlJc w:val="left"/>
      <w:pPr>
        <w:tabs>
          <w:tab w:val="num" w:pos="0"/>
        </w:tabs>
        <w:ind w:left="1536"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2">
      <w:start w:val="1"/>
      <w:numFmt w:val="bullet"/>
      <w:lvlText w:val="▪"/>
      <w:lvlJc w:val="left"/>
      <w:pPr>
        <w:tabs>
          <w:tab w:val="num" w:pos="0"/>
        </w:tabs>
        <w:ind w:left="2256"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3">
      <w:start w:val="1"/>
      <w:numFmt w:val="bullet"/>
      <w:lvlText w:val="•"/>
      <w:lvlJc w:val="left"/>
      <w:pPr>
        <w:tabs>
          <w:tab w:val="num" w:pos="0"/>
        </w:tabs>
        <w:ind w:left="2976"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4">
      <w:start w:val="1"/>
      <w:numFmt w:val="bullet"/>
      <w:lvlText w:val="o"/>
      <w:lvlJc w:val="left"/>
      <w:pPr>
        <w:tabs>
          <w:tab w:val="num" w:pos="0"/>
        </w:tabs>
        <w:ind w:left="3696"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5">
      <w:start w:val="1"/>
      <w:numFmt w:val="bullet"/>
      <w:lvlText w:val="▪"/>
      <w:lvlJc w:val="left"/>
      <w:pPr>
        <w:tabs>
          <w:tab w:val="num" w:pos="0"/>
        </w:tabs>
        <w:ind w:left="4416"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6">
      <w:start w:val="1"/>
      <w:numFmt w:val="bullet"/>
      <w:lvlText w:val="•"/>
      <w:lvlJc w:val="left"/>
      <w:pPr>
        <w:tabs>
          <w:tab w:val="num" w:pos="0"/>
        </w:tabs>
        <w:ind w:left="5136"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7">
      <w:start w:val="1"/>
      <w:numFmt w:val="bullet"/>
      <w:lvlText w:val="o"/>
      <w:lvlJc w:val="left"/>
      <w:pPr>
        <w:tabs>
          <w:tab w:val="num" w:pos="0"/>
        </w:tabs>
        <w:ind w:left="5856"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8">
      <w:start w:val="1"/>
      <w:numFmt w:val="bullet"/>
      <w:lvlText w:val="▪"/>
      <w:lvlJc w:val="left"/>
      <w:pPr>
        <w:tabs>
          <w:tab w:val="num" w:pos="0"/>
        </w:tabs>
        <w:ind w:left="6576"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abstractNum>
  <w:abstractNum w:abstractNumId="5">
    <w:lvl w:ilvl="0">
      <w:start w:val="1"/>
      <w:numFmt w:val="bullet"/>
      <w:lvlText w:val=""/>
      <w:lvlJc w:val="left"/>
      <w:pPr>
        <w:tabs>
          <w:tab w:val="num" w:pos="0"/>
        </w:tabs>
        <w:ind w:left="73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1">
      <w:start w:val="1"/>
      <w:numFmt w:val="bullet"/>
      <w:lvlText w:val="o"/>
      <w:lvlJc w:val="left"/>
      <w:pPr>
        <w:tabs>
          <w:tab w:val="num" w:pos="0"/>
        </w:tabs>
        <w:ind w:left="144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2">
      <w:start w:val="1"/>
      <w:numFmt w:val="bullet"/>
      <w:lvlText w:val="▪"/>
      <w:lvlJc w:val="left"/>
      <w:pPr>
        <w:tabs>
          <w:tab w:val="num" w:pos="0"/>
        </w:tabs>
        <w:ind w:left="216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3">
      <w:start w:val="1"/>
      <w:numFmt w:val="bullet"/>
      <w:lvlText w:val="•"/>
      <w:lvlJc w:val="left"/>
      <w:pPr>
        <w:tabs>
          <w:tab w:val="num" w:pos="0"/>
        </w:tabs>
        <w:ind w:left="288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4">
      <w:start w:val="1"/>
      <w:numFmt w:val="bullet"/>
      <w:lvlText w:val="o"/>
      <w:lvlJc w:val="left"/>
      <w:pPr>
        <w:tabs>
          <w:tab w:val="num" w:pos="0"/>
        </w:tabs>
        <w:ind w:left="360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5">
      <w:start w:val="1"/>
      <w:numFmt w:val="bullet"/>
      <w:lvlText w:val="▪"/>
      <w:lvlJc w:val="left"/>
      <w:pPr>
        <w:tabs>
          <w:tab w:val="num" w:pos="0"/>
        </w:tabs>
        <w:ind w:left="432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6">
      <w:start w:val="1"/>
      <w:numFmt w:val="bullet"/>
      <w:lvlText w:val="•"/>
      <w:lvlJc w:val="left"/>
      <w:pPr>
        <w:tabs>
          <w:tab w:val="num" w:pos="0"/>
        </w:tabs>
        <w:ind w:left="504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7">
      <w:start w:val="1"/>
      <w:numFmt w:val="bullet"/>
      <w:lvlText w:val="o"/>
      <w:lvlJc w:val="left"/>
      <w:pPr>
        <w:tabs>
          <w:tab w:val="num" w:pos="0"/>
        </w:tabs>
        <w:ind w:left="576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8">
      <w:start w:val="1"/>
      <w:numFmt w:val="bullet"/>
      <w:lvlText w:val="▪"/>
      <w:lvlJc w:val="left"/>
      <w:pPr>
        <w:tabs>
          <w:tab w:val="num" w:pos="0"/>
        </w:tabs>
        <w:ind w:left="648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abstractNum>
  <w:abstractNum w:abstractNumId="6">
    <w:lvl w:ilvl="0">
      <w:start w:val="1"/>
      <w:numFmt w:val="bullet"/>
      <w:lvlText w:val=""/>
      <w:lvlJc w:val="left"/>
      <w:pPr>
        <w:tabs>
          <w:tab w:val="num" w:pos="0"/>
        </w:tabs>
        <w:ind w:left="73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1">
      <w:start w:val="1"/>
      <w:numFmt w:val="bullet"/>
      <w:lvlText w:val="o"/>
      <w:lvlJc w:val="left"/>
      <w:pPr>
        <w:tabs>
          <w:tab w:val="num" w:pos="0"/>
        </w:tabs>
        <w:ind w:left="144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2">
      <w:start w:val="1"/>
      <w:numFmt w:val="bullet"/>
      <w:lvlText w:val="▪"/>
      <w:lvlJc w:val="left"/>
      <w:pPr>
        <w:tabs>
          <w:tab w:val="num" w:pos="0"/>
        </w:tabs>
        <w:ind w:left="216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3">
      <w:start w:val="1"/>
      <w:numFmt w:val="bullet"/>
      <w:lvlText w:val="•"/>
      <w:lvlJc w:val="left"/>
      <w:pPr>
        <w:tabs>
          <w:tab w:val="num" w:pos="0"/>
        </w:tabs>
        <w:ind w:left="288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4">
      <w:start w:val="1"/>
      <w:numFmt w:val="bullet"/>
      <w:lvlText w:val="o"/>
      <w:lvlJc w:val="left"/>
      <w:pPr>
        <w:tabs>
          <w:tab w:val="num" w:pos="0"/>
        </w:tabs>
        <w:ind w:left="360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5">
      <w:start w:val="1"/>
      <w:numFmt w:val="bullet"/>
      <w:lvlText w:val="▪"/>
      <w:lvlJc w:val="left"/>
      <w:pPr>
        <w:tabs>
          <w:tab w:val="num" w:pos="0"/>
        </w:tabs>
        <w:ind w:left="432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6">
      <w:start w:val="1"/>
      <w:numFmt w:val="bullet"/>
      <w:lvlText w:val="•"/>
      <w:lvlJc w:val="left"/>
      <w:pPr>
        <w:tabs>
          <w:tab w:val="num" w:pos="0"/>
        </w:tabs>
        <w:ind w:left="504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7">
      <w:start w:val="1"/>
      <w:numFmt w:val="bullet"/>
      <w:lvlText w:val="o"/>
      <w:lvlJc w:val="left"/>
      <w:pPr>
        <w:tabs>
          <w:tab w:val="num" w:pos="0"/>
        </w:tabs>
        <w:ind w:left="576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lvl w:ilvl="8">
      <w:start w:val="1"/>
      <w:numFmt w:val="bullet"/>
      <w:lvlText w:val="▪"/>
      <w:lvlJc w:val="left"/>
      <w:pPr>
        <w:tabs>
          <w:tab w:val="num" w:pos="0"/>
        </w:tabs>
        <w:ind w:left="6480" w:hanging="0"/>
      </w:pPr>
      <w:rPr>
        <w:rFonts w:ascii="Wingdings" w:hAnsi="Wingdings" w:cs="Wingdings" w:hint="default"/>
        <w:dstrike w:val="false"/>
        <w:strike w:val="false"/>
        <w:vertAlign w:val="baseline"/>
        <w:position w:val="0"/>
        <w:sz w:val="22"/>
        <w:sz w:val="22"/>
        <w:i w:val="false"/>
        <w:u w:val="none" w:color="000000"/>
        <w:b w:val="false"/>
        <w:shd w:fill="auto" w:val="clear"/>
        <w:szCs w:val="22"/>
        <w:color w:val="000000"/>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Cambria" w:cs="Times New Roman"/>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41524"/>
    <w:pPr>
      <w:widowControl/>
      <w:bidi w:val="0"/>
      <w:spacing w:before="0" w:after="0"/>
      <w:jc w:val="left"/>
    </w:pPr>
    <w:rPr>
      <w:rFonts w:ascii="Cambria" w:hAnsi="Cambria" w:eastAsia="Cambria" w:cs="Times New Roman"/>
      <w:color w:val="auto"/>
      <w:kern w:val="0"/>
      <w:sz w:val="24"/>
      <w:szCs w:val="24"/>
      <w:lang w:eastAsia="en-US" w:val="fr-FR" w:bidi="ar-SA"/>
    </w:rPr>
  </w:style>
  <w:style w:type="paragraph" w:styleId="Titre1">
    <w:name w:val="Heading 1"/>
    <w:basedOn w:val="Normal"/>
    <w:link w:val="Titre1Car"/>
    <w:uiPriority w:val="9"/>
    <w:qFormat/>
    <w:rsid w:val="001f27be"/>
    <w:pPr>
      <w:spacing w:beforeAutospacing="1" w:afterAutospacing="1"/>
      <w:outlineLvl w:val="0"/>
    </w:pPr>
    <w:rPr>
      <w:rFonts w:ascii="Verdana" w:hAnsi="Verdana" w:eastAsia="Calibri"/>
      <w:b/>
      <w:bCs/>
      <w:color w:val="006699"/>
      <w:kern w:val="2"/>
      <w:sz w:val="34"/>
      <w:szCs w:val="34"/>
      <w:lang w:val="x-none" w:eastAsia="x-none"/>
    </w:rPr>
  </w:style>
  <w:style w:type="paragraph" w:styleId="Titre2">
    <w:name w:val="Heading 2"/>
    <w:next w:val="Normal"/>
    <w:link w:val="Titre2Car"/>
    <w:uiPriority w:val="9"/>
    <w:unhideWhenUsed/>
    <w:qFormat/>
    <w:rsid w:val="00816da5"/>
    <w:pPr>
      <w:keepNext w:val="true"/>
      <w:keepLines/>
      <w:widowControl/>
      <w:bidi w:val="0"/>
      <w:spacing w:lineRule="auto" w:line="259" w:before="0" w:after="4"/>
      <w:ind w:left="318" w:hanging="10"/>
      <w:jc w:val="left"/>
      <w:outlineLvl w:val="1"/>
    </w:pPr>
    <w:rPr>
      <w:rFonts w:ascii="Calibri" w:hAnsi="Calibri" w:eastAsia="Calibri" w:cs="Calibri"/>
      <w:color w:val="9C542A"/>
      <w:kern w:val="0"/>
      <w:sz w:val="26"/>
      <w:szCs w:val="22"/>
      <w:lang w:val="fr-FR" w:eastAsia="fr-FR" w:bidi="ar-SA"/>
    </w:rPr>
  </w:style>
  <w:style w:type="paragraph" w:styleId="Titre3">
    <w:name w:val="Heading 3"/>
    <w:next w:val="Normal"/>
    <w:link w:val="Titre3Car"/>
    <w:uiPriority w:val="9"/>
    <w:unhideWhenUsed/>
    <w:qFormat/>
    <w:rsid w:val="00816da5"/>
    <w:pPr>
      <w:keepNext w:val="true"/>
      <w:keepLines/>
      <w:widowControl/>
      <w:bidi w:val="0"/>
      <w:spacing w:lineRule="auto" w:line="259" w:before="0" w:after="29"/>
      <w:ind w:left="318" w:hanging="10"/>
      <w:jc w:val="center"/>
      <w:outlineLvl w:val="2"/>
    </w:pPr>
    <w:rPr>
      <w:rFonts w:ascii="Calibri" w:hAnsi="Calibri" w:eastAsia="Calibri" w:cs="Calibri"/>
      <w:b/>
      <w:color w:val="000000"/>
      <w:kern w:val="0"/>
      <w:sz w:val="22"/>
      <w:szCs w:val="22"/>
      <w:lang w:val="fr-FR" w:eastAsia="fr-FR" w:bidi="ar-SA"/>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uiPriority w:val="99"/>
    <w:qFormat/>
    <w:rsid w:val="00456342"/>
    <w:rPr/>
  </w:style>
  <w:style w:type="character" w:styleId="PieddepageCar" w:customStyle="1">
    <w:name w:val="Pied de page Car"/>
    <w:basedOn w:val="DefaultParagraphFont"/>
    <w:uiPriority w:val="99"/>
    <w:qFormat/>
    <w:rsid w:val="00456342"/>
    <w:rPr/>
  </w:style>
  <w:style w:type="character" w:styleId="LienInternet">
    <w:name w:val="Lien Internet"/>
    <w:uiPriority w:val="99"/>
    <w:unhideWhenUsed/>
    <w:rsid w:val="006b3715"/>
    <w:rPr>
      <w:color w:val="0000FF"/>
      <w:u w:val="single"/>
    </w:rPr>
  </w:style>
  <w:style w:type="character" w:styleId="TextedebullesCar" w:customStyle="1">
    <w:name w:val="Texte de bulles Car"/>
    <w:link w:val="BalloonText"/>
    <w:uiPriority w:val="99"/>
    <w:semiHidden/>
    <w:qFormat/>
    <w:rsid w:val="008f4583"/>
    <w:rPr>
      <w:rFonts w:ascii="Tahoma" w:hAnsi="Tahoma" w:cs="Tahoma"/>
      <w:sz w:val="16"/>
      <w:szCs w:val="16"/>
      <w:lang w:eastAsia="en-US"/>
    </w:rPr>
  </w:style>
  <w:style w:type="character" w:styleId="Titre1Car" w:customStyle="1">
    <w:name w:val="Titre 1 Car"/>
    <w:qFormat/>
    <w:rsid w:val="001f27be"/>
    <w:rPr>
      <w:rFonts w:ascii="Verdana" w:hAnsi="Verdana" w:eastAsia="Calibri"/>
      <w:b/>
      <w:bCs/>
      <w:color w:val="006699"/>
      <w:kern w:val="2"/>
      <w:sz w:val="34"/>
      <w:szCs w:val="34"/>
    </w:rPr>
  </w:style>
  <w:style w:type="character" w:styleId="Strong">
    <w:name w:val="Strong"/>
    <w:uiPriority w:val="22"/>
    <w:qFormat/>
    <w:rsid w:val="001f27be"/>
    <w:rPr>
      <w:b/>
      <w:bCs/>
    </w:rPr>
  </w:style>
  <w:style w:type="character" w:styleId="Agcmg" w:customStyle="1">
    <w:name w:val="a_gcmg"/>
    <w:basedOn w:val="DefaultParagraphFont"/>
    <w:qFormat/>
    <w:rsid w:val="002409b6"/>
    <w:rPr/>
  </w:style>
  <w:style w:type="character" w:styleId="Annotationreference">
    <w:name w:val="annotation reference"/>
    <w:basedOn w:val="DefaultParagraphFont"/>
    <w:uiPriority w:val="99"/>
    <w:semiHidden/>
    <w:unhideWhenUsed/>
    <w:qFormat/>
    <w:rsid w:val="002409b6"/>
    <w:rPr>
      <w:sz w:val="16"/>
      <w:szCs w:val="16"/>
    </w:rPr>
  </w:style>
  <w:style w:type="character" w:styleId="CommentaireCar" w:customStyle="1">
    <w:name w:val="Commentaire Car"/>
    <w:basedOn w:val="DefaultParagraphFont"/>
    <w:link w:val="Annotationtext"/>
    <w:uiPriority w:val="99"/>
    <w:semiHidden/>
    <w:qFormat/>
    <w:rsid w:val="002409b6"/>
    <w:rPr>
      <w:lang w:eastAsia="en-US"/>
    </w:rPr>
  </w:style>
  <w:style w:type="character" w:styleId="ObjetducommentaireCar" w:customStyle="1">
    <w:name w:val="Objet du commentaire Car"/>
    <w:basedOn w:val="CommentaireCar"/>
    <w:link w:val="Annotationsubject"/>
    <w:uiPriority w:val="99"/>
    <w:semiHidden/>
    <w:qFormat/>
    <w:rsid w:val="002409b6"/>
    <w:rPr>
      <w:b/>
      <w:bCs/>
      <w:lang w:eastAsia="en-US"/>
    </w:rPr>
  </w:style>
  <w:style w:type="character" w:styleId="FootnotedescriptionChar" w:customStyle="1">
    <w:name w:val="footnote description Char"/>
    <w:link w:val="Footnotedescription"/>
    <w:qFormat/>
    <w:rsid w:val="00816da5"/>
    <w:rPr>
      <w:rFonts w:ascii="Calibri" w:hAnsi="Calibri" w:eastAsia="Calibri" w:cs="Calibri"/>
      <w:color w:val="0563C1"/>
      <w:szCs w:val="22"/>
      <w:u w:val="single" w:color="0563C1"/>
    </w:rPr>
  </w:style>
  <w:style w:type="character" w:styleId="Footnotemark" w:customStyle="1">
    <w:name w:val="footnote mark"/>
    <w:qFormat/>
    <w:rsid w:val="00816da5"/>
    <w:rPr>
      <w:rFonts w:ascii="Calibri" w:hAnsi="Calibri" w:eastAsia="Calibri" w:cs="Calibri"/>
      <w:color w:val="000000"/>
      <w:sz w:val="20"/>
      <w:vertAlign w:val="superscript"/>
    </w:rPr>
  </w:style>
  <w:style w:type="character" w:styleId="Titre2Car" w:customStyle="1">
    <w:name w:val="Titre 2 Car"/>
    <w:basedOn w:val="DefaultParagraphFont"/>
    <w:uiPriority w:val="9"/>
    <w:qFormat/>
    <w:rsid w:val="00816da5"/>
    <w:rPr>
      <w:rFonts w:ascii="Calibri" w:hAnsi="Calibri" w:eastAsia="Calibri" w:cs="Calibri"/>
      <w:color w:val="9C542A"/>
      <w:sz w:val="26"/>
      <w:szCs w:val="22"/>
    </w:rPr>
  </w:style>
  <w:style w:type="character" w:styleId="Titre3Car" w:customStyle="1">
    <w:name w:val="Titre 3 Car"/>
    <w:basedOn w:val="DefaultParagraphFont"/>
    <w:uiPriority w:val="9"/>
    <w:qFormat/>
    <w:rsid w:val="00816da5"/>
    <w:rPr>
      <w:rFonts w:ascii="Calibri" w:hAnsi="Calibri" w:eastAsia="Calibri" w:cs="Calibri"/>
      <w:b/>
      <w:color w:val="000000"/>
      <w:sz w:val="22"/>
      <w:szCs w:val="22"/>
    </w:rPr>
  </w:style>
  <w:style w:type="character" w:styleId="Sautdindex">
    <w:name w:val="Saut d'index"/>
    <w:qFormat/>
    <w:rPr/>
  </w:style>
  <w:style w:type="character" w:styleId="Caractresdenotedebasdepage">
    <w:name w:val="Caractères de note de bas de page"/>
    <w:qFormat/>
    <w:rPr/>
  </w:style>
  <w:style w:type="character" w:styleId="Ancredenotedebasdepage">
    <w:name w:val="Ancre de note de bas de page"/>
    <w:rPr>
      <w:vertAlign w:val="superscript"/>
    </w:rPr>
  </w:style>
  <w:style w:type="character" w:styleId="Ancredenotedefin">
    <w:name w:val="Ancre de note de fin"/>
    <w:rPr>
      <w:vertAlign w:val="superscript"/>
    </w:rPr>
  </w:style>
  <w:style w:type="character" w:styleId="Caractresdenotedefin">
    <w:name w:val="Caractères de note de fin"/>
    <w:qFormat/>
    <w:rPr/>
  </w:style>
  <w:style w:type="paragraph" w:styleId="Titre">
    <w:name w:val="Titre"/>
    <w:basedOn w:val="Normal"/>
    <w:next w:val="Corpsdetexte"/>
    <w:qFormat/>
    <w:pPr>
      <w:keepNext w:val="true"/>
      <w:spacing w:before="240" w:after="120"/>
    </w:pPr>
    <w:rPr>
      <w:rFonts w:ascii="Liberation Sans" w:hAnsi="Liberation Sans" w:eastAsia="Microsoft YaHei" w:cs="Lucida Sans"/>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Entteetpieddepage">
    <w:name w:val="En-tête et pied de page"/>
    <w:basedOn w:val="Normal"/>
    <w:qFormat/>
    <w:pPr/>
    <w:rPr/>
  </w:style>
  <w:style w:type="paragraph" w:styleId="Entte">
    <w:name w:val="Header"/>
    <w:basedOn w:val="Normal"/>
    <w:link w:val="EntteCar"/>
    <w:uiPriority w:val="99"/>
    <w:unhideWhenUsed/>
    <w:rsid w:val="00456342"/>
    <w:pPr>
      <w:tabs>
        <w:tab w:val="clear" w:pos="708"/>
        <w:tab w:val="center" w:pos="4536" w:leader="none"/>
        <w:tab w:val="right" w:pos="9072" w:leader="none"/>
      </w:tabs>
    </w:pPr>
    <w:rPr/>
  </w:style>
  <w:style w:type="paragraph" w:styleId="Pieddepage">
    <w:name w:val="Footer"/>
    <w:basedOn w:val="Normal"/>
    <w:link w:val="PieddepageCar"/>
    <w:uiPriority w:val="99"/>
    <w:unhideWhenUsed/>
    <w:rsid w:val="00456342"/>
    <w:pPr>
      <w:tabs>
        <w:tab w:val="clear" w:pos="708"/>
        <w:tab w:val="center" w:pos="4536" w:leader="none"/>
        <w:tab w:val="right" w:pos="9072" w:leader="none"/>
      </w:tabs>
    </w:pPr>
    <w:rPr/>
  </w:style>
  <w:style w:type="paragraph" w:styleId="BalloonText">
    <w:name w:val="Balloon Text"/>
    <w:basedOn w:val="Normal"/>
    <w:link w:val="TextedebullesCar"/>
    <w:uiPriority w:val="99"/>
    <w:semiHidden/>
    <w:unhideWhenUsed/>
    <w:qFormat/>
    <w:rsid w:val="008f4583"/>
    <w:pPr/>
    <w:rPr>
      <w:rFonts w:ascii="Tahoma" w:hAnsi="Tahoma"/>
      <w:sz w:val="16"/>
      <w:szCs w:val="16"/>
      <w:lang w:val="x-none"/>
    </w:rPr>
  </w:style>
  <w:style w:type="paragraph" w:styleId="NormalWeb">
    <w:name w:val="Normal (Web)"/>
    <w:basedOn w:val="Normal"/>
    <w:uiPriority w:val="99"/>
    <w:semiHidden/>
    <w:unhideWhenUsed/>
    <w:qFormat/>
    <w:rsid w:val="001f27be"/>
    <w:pPr>
      <w:spacing w:beforeAutospacing="1" w:afterAutospacing="1"/>
    </w:pPr>
    <w:rPr>
      <w:rFonts w:ascii="Verdana" w:hAnsi="Verdana" w:eastAsia="Calibri"/>
      <w:sz w:val="21"/>
      <w:szCs w:val="21"/>
      <w:lang w:eastAsia="fr-FR"/>
    </w:rPr>
  </w:style>
  <w:style w:type="paragraph" w:styleId="ListParagraph">
    <w:name w:val="List Paragraph"/>
    <w:basedOn w:val="Normal"/>
    <w:uiPriority w:val="72"/>
    <w:qFormat/>
    <w:rsid w:val="00817b11"/>
    <w:pPr>
      <w:spacing w:before="0" w:after="0"/>
      <w:ind w:left="720" w:hanging="0"/>
      <w:contextualSpacing/>
    </w:pPr>
    <w:rPr/>
  </w:style>
  <w:style w:type="paragraph" w:styleId="Annotationtext">
    <w:name w:val="annotation text"/>
    <w:basedOn w:val="Normal"/>
    <w:link w:val="CommentaireCar"/>
    <w:uiPriority w:val="99"/>
    <w:semiHidden/>
    <w:unhideWhenUsed/>
    <w:qFormat/>
    <w:rsid w:val="002409b6"/>
    <w:pPr/>
    <w:rPr>
      <w:sz w:val="20"/>
      <w:szCs w:val="20"/>
    </w:rPr>
  </w:style>
  <w:style w:type="paragraph" w:styleId="Annotationsubject">
    <w:name w:val="annotation subject"/>
    <w:basedOn w:val="Annotationtext"/>
    <w:next w:val="Annotationtext"/>
    <w:link w:val="ObjetducommentaireCar"/>
    <w:uiPriority w:val="99"/>
    <w:semiHidden/>
    <w:unhideWhenUsed/>
    <w:qFormat/>
    <w:rsid w:val="002409b6"/>
    <w:pPr/>
    <w:rPr>
      <w:b/>
      <w:bCs/>
    </w:rPr>
  </w:style>
  <w:style w:type="paragraph" w:styleId="Footnotedescription" w:customStyle="1">
    <w:name w:val="footnote description"/>
    <w:next w:val="Normal"/>
    <w:link w:val="FootnotedescriptionChar"/>
    <w:qFormat/>
    <w:rsid w:val="00816da5"/>
    <w:pPr>
      <w:widowControl/>
      <w:bidi w:val="0"/>
      <w:spacing w:lineRule="auto" w:line="252" w:before="0" w:after="0"/>
      <w:jc w:val="left"/>
    </w:pPr>
    <w:rPr>
      <w:rFonts w:ascii="Calibri" w:hAnsi="Calibri" w:eastAsia="Calibri" w:cs="Calibri"/>
      <w:color w:val="0563C1"/>
      <w:kern w:val="0"/>
      <w:sz w:val="20"/>
      <w:szCs w:val="22"/>
      <w:u w:val="single" w:color="0563C1"/>
      <w:lang w:val="fr-FR" w:eastAsia="fr-FR" w:bidi="ar-SA"/>
    </w:rPr>
  </w:style>
  <w:style w:type="paragraph" w:styleId="Tabledesmatiresniveau1">
    <w:name w:val="TOC 1"/>
    <w:uiPriority w:val="39"/>
    <w:rsid w:val="00816da5"/>
    <w:pPr>
      <w:widowControl/>
      <w:bidi w:val="0"/>
      <w:spacing w:lineRule="auto" w:line="259" w:before="0" w:after="115"/>
      <w:ind w:left="333" w:right="23" w:hanging="10"/>
      <w:jc w:val="both"/>
    </w:pPr>
    <w:rPr>
      <w:rFonts w:ascii="Calibri" w:hAnsi="Calibri" w:eastAsia="Calibri" w:cs="Calibri"/>
      <w:b/>
      <w:color w:val="000000"/>
      <w:kern w:val="0"/>
      <w:sz w:val="22"/>
      <w:szCs w:val="22"/>
      <w:lang w:val="fr-FR" w:eastAsia="fr-FR" w:bidi="ar-SA"/>
    </w:rPr>
  </w:style>
  <w:style w:type="paragraph" w:styleId="Tabledesmatiresniveau2">
    <w:name w:val="TOC 2"/>
    <w:uiPriority w:val="39"/>
    <w:rsid w:val="00816da5"/>
    <w:pPr>
      <w:widowControl/>
      <w:bidi w:val="0"/>
      <w:spacing w:lineRule="auto" w:line="362" w:before="0" w:after="0"/>
      <w:ind w:left="433" w:right="23" w:hanging="110"/>
      <w:jc w:val="both"/>
    </w:pPr>
    <w:rPr>
      <w:rFonts w:ascii="Calibri" w:hAnsi="Calibri" w:eastAsia="Calibri" w:cs="Calibri"/>
      <w:b/>
      <w:color w:val="000000"/>
      <w:kern w:val="0"/>
      <w:sz w:val="22"/>
      <w:szCs w:val="22"/>
      <w:lang w:val="fr-FR" w:eastAsia="fr-FR" w:bidi="ar-SA"/>
    </w:rPr>
  </w:style>
  <w:style w:type="paragraph" w:styleId="Notedebasdepage">
    <w:name w:val="Footnote Text"/>
    <w:basedOn w:val="Normal"/>
    <w:pPr/>
    <w:rPr/>
  </w:style>
  <w:style w:type="paragraph" w:styleId="Contenudecadre">
    <w:name w:val="Contenu de cadre"/>
    <w:basedOn w:val="Normal"/>
    <w:qFormat/>
    <w:pPr/>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benoit.marchadour@lpo.fr" TargetMode="External"/><Relationship Id="rId3" Type="http://schemas.openxmlformats.org/officeDocument/2006/relationships/image" Target="media/image1.png"/><Relationship Id="rId4" Type="http://schemas.openxmlformats.org/officeDocument/2006/relationships/image" Target="media/image2.jpeg"/><Relationship Id="rId5" Type="http://schemas.openxmlformats.org/officeDocument/2006/relationships/image" Target="media/image2.jpeg"/><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image" Target="media/image5.jpeg"/><Relationship Id="rId9" Type="http://schemas.openxmlformats.org/officeDocument/2006/relationships/image" Target="media/image6.jpeg"/><Relationship Id="rId10" Type="http://schemas.openxmlformats.org/officeDocument/2006/relationships/image" Target="media/image7.jpeg"/><Relationship Id="rId11" Type="http://schemas.openxmlformats.org/officeDocument/2006/relationships/image" Target="media/image2.jpeg"/><Relationship Id="rId12" Type="http://schemas.openxmlformats.org/officeDocument/2006/relationships/hyperlink" Target="https://www.service-public.fr/particuliers/vosdroits/R2501" TargetMode="External"/><Relationship Id="rId13" Type="http://schemas.openxmlformats.org/officeDocument/2006/relationships/hyperlink" Target="https://www.service-public.fr/particuliers/vosdroits/R2501" TargetMode="External"/><Relationship Id="rId14" Type="http://schemas.openxmlformats.org/officeDocument/2006/relationships/hyperlink" Target="https://www.service-public.fr/particuliers/vosdroits/R2501" TargetMode="External"/><Relationship Id="rId15" Type="http://schemas.openxmlformats.org/officeDocument/2006/relationships/hyperlink" Target="https://www.service-public.fr/particuliers/vosdroits/R2501" TargetMode="External"/><Relationship Id="rId16" Type="http://schemas.openxmlformats.org/officeDocument/2006/relationships/hyperlink" Target="https://entreprendre.service-public.fr/vosdroits/R15890" TargetMode="External"/><Relationship Id="rId17" Type="http://schemas.openxmlformats.org/officeDocument/2006/relationships/hyperlink" Target="https://entreprendre.service-public.fr/vosdroits/R15890" TargetMode="External"/><Relationship Id="rId18" Type="http://schemas.openxmlformats.org/officeDocument/2006/relationships/hyperlink" Target="https://entreprendre.service-public.fr/vosdroits/R15890" TargetMode="External"/><Relationship Id="rId19" Type="http://schemas.openxmlformats.org/officeDocument/2006/relationships/hyperlink" Target="https://entreprendre.service-public.fr/vosdroits/R15890" TargetMode="External"/><Relationship Id="rId20" Type="http://schemas.openxmlformats.org/officeDocument/2006/relationships/image" Target="media/image8.png"/><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footnotes" Target="footnotes.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Relationship Id="rId2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10.png"/><Relationship Id="rId2" Type="http://schemas.openxmlformats.org/officeDocument/2006/relationships/image" Target="media/image11.png"/><Relationship Id="rId3" Type="http://schemas.openxmlformats.org/officeDocument/2006/relationships/image" Target="media/image11.png"/><Relationship Id="rId4" Type="http://schemas.openxmlformats.org/officeDocument/2006/relationships/image" Target="media/image11.png"/><Relationship Id="rId5" Type="http://schemas.openxmlformats.org/officeDocument/2006/relationships/image" Target="media/image11.png"/><Relationship Id="rId6" Type="http://schemas.openxmlformats.org/officeDocument/2006/relationships/image" Target="media/image12.png"/><Relationship Id="rId7" Type="http://schemas.openxmlformats.org/officeDocument/2006/relationships/image" Target="media/image12.png"/>
</Relationships>
</file>

<file path=word/_rels/footnotes.xml.rels><?xml version="1.0" encoding="UTF-8"?>
<Relationships xmlns="http://schemas.openxmlformats.org/package/2006/relationships"><Relationship Id="rId1" Type="http://schemas.openxmlformats.org/officeDocument/2006/relationships/hyperlink" Target="https://www.sfepm.org/sites/default/files/inline-files/Protocole_Valorisation-cadavres_PNALoutre_2021.pdf" TargetMode="External"/><Relationship Id="rId2" Type="http://schemas.openxmlformats.org/officeDocument/2006/relationships/hyperlink" Target="https://www.sfepm.org/sites/default/files/inline-files/Protocole_Valorisation-cadavres_PNALoutre_2021.pdf" TargetMode="External"/><Relationship Id="rId3" Type="http://schemas.openxmlformats.org/officeDocument/2006/relationships/hyperlink" Target="https://www.sfepm.org/sites/default/files/inline-files/Protocole_Valorisation-cadavres_PNALoutre_2021.pdf" TargetMode="External"/><Relationship Id="rId4" Type="http://schemas.openxmlformats.org/officeDocument/2006/relationships/hyperlink" Target="https://www.sfepm.org/sites/default/files/inline-files/Protocole_Valorisation-cadavres_PNALoutre_2021.pdf" TargetMode="External"/><Relationship Id="rId5" Type="http://schemas.openxmlformats.org/officeDocument/2006/relationships/hyperlink" Target="https://www.sfepm.org/sites/default/files/inline-files/Protocole_Valorisation-cadavres_PNALoutre_2021.pdf" TargetMode="External"/><Relationship Id="rId6" Type="http://schemas.openxmlformats.org/officeDocument/2006/relationships/hyperlink" Target="https://www.sfepm.org/sites/default/files/inline-files/Protocole_Valorisation-cadavres_PNALoutre_2021.pdf" TargetMode="External"/>
</Relationships>
</file>

<file path=word/_rels/header1.xml.rels><?xml version="1.0" encoding="UTF-8"?>
<Relationships xmlns="http://schemas.openxmlformats.org/package/2006/relationships"><Relationship Id="rId1" Type="http://schemas.openxmlformats.org/officeDocument/2006/relationships/image" Target="media/image9.jpeg"/>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40E13-D1ED-44A8-9A9B-30B75E7AC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Application>LibreOffice/7.3.7.2.M8$Windows_X86_64 LibreOffice_project/6d3c621d2a55ad69069ee1e9770686c208fa23a7</Application>
  <AppVersion>15.0000</AppVersion>
  <Pages>12</Pages>
  <Words>2451</Words>
  <Characters>13475</Characters>
  <CharactersWithSpaces>15893</CharactersWithSpaces>
  <Paragraphs>175</Paragraphs>
  <Company>Csuper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2020-10-29T10:31:00Z</dcterms:created>
  <dc:creator>Antoine Barreau</dc:creator>
  <dc:description/>
  <dc:language>fr-FR</dc:language>
  <cp:lastModifiedBy>Romain BATARD</cp:lastModifiedBy>
  <cp:lastPrinted>2014-04-07T12:25:00Z</cp:lastPrinted>
  <dcterms:modified xsi:type="dcterms:W3CDTF">2026-03-11T14:43:23Z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file>